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4"/>
        <w:rPr>
          <w:rFonts w:hint="default"/>
        </w:rPr>
      </w:pPr>
    </w:p>
    <w:p>
      <w:pPr>
        <w:spacing w:beforeLines="0" w:afterLines="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shd w:val="clear" w:color="auto" w:fill="auto"/>
        </w:rPr>
        <w:t>企业研发准备金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shd w:val="clear" w:color="auto" w:fill="auto"/>
          <w:lang w:val="en-US" w:eastAsia="zh-CN"/>
        </w:rPr>
        <w:t>内部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shd w:val="clear" w:color="auto" w:fill="auto"/>
        </w:rPr>
        <w:t>制度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shd w:val="clear" w:color="auto" w:fill="auto"/>
          <w:lang w:val="en-US"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shd w:val="clear" w:color="auto" w:fill="auto"/>
        </w:rPr>
        <w:t>提纲</w:t>
      </w:r>
    </w:p>
    <w:p>
      <w:pPr>
        <w:spacing w:beforeLines="0" w:afterLines="0" w:line="560" w:lineRule="exact"/>
        <w:jc w:val="center"/>
        <w:outlineLvl w:val="0"/>
        <w:rPr>
          <w:rFonts w:hint="eastAsia" w:ascii="楷体_GB2312" w:hAnsi="楷体_GB2312" w:eastAsia="楷体_GB2312" w:cs="楷体_GB2312"/>
          <w:bCs w:val="0"/>
          <w:color w:val="auto"/>
          <w:kern w:val="2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2"/>
          <w:sz w:val="32"/>
          <w:szCs w:val="32"/>
          <w:shd w:val="clear" w:color="auto" w:fill="auto"/>
        </w:rPr>
        <w:t>（参考模板）</w:t>
      </w:r>
    </w:p>
    <w:p>
      <w:pPr>
        <w:widowControl w:val="0"/>
        <w:snapToGrid w:val="0"/>
        <w:spacing w:line="580" w:lineRule="exact"/>
        <w:ind w:firstLine="642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</w:pPr>
    </w:p>
    <w:p>
      <w:pPr>
        <w:widowControl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第一章  总则</w:t>
      </w:r>
    </w:p>
    <w:p>
      <w:pPr>
        <w:widowControl w:val="0"/>
        <w:snapToGrid w:val="0"/>
        <w:spacing w:beforeLines="0" w:afterLines="0" w:line="580" w:lineRule="exact"/>
        <w:ind w:firstLine="592" w:firstLineChars="20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</w:rPr>
        <w:t>包括制定目的、意义、依据、研发准备金概念、适用范围等内容。</w:t>
      </w:r>
    </w:p>
    <w:p>
      <w:pPr>
        <w:widowControl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第二章  提取与分配</w:t>
      </w:r>
    </w:p>
    <w:p>
      <w:pPr>
        <w:spacing w:beforeLines="0" w:afterLines="0"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包括计提依据、计提比率、计提时间以及在各研发项目间的分配等内容。</w:t>
      </w:r>
    </w:p>
    <w:p>
      <w:pPr>
        <w:widowControl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第三章  使用范围</w:t>
      </w:r>
    </w:p>
    <w:p>
      <w:pPr>
        <w:spacing w:beforeLines="0" w:afterLines="0"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包括研发准备金的开支范围和标准，亦即研发经费的开支范围和标准，以及不可列支范围。</w:t>
      </w:r>
    </w:p>
    <w:p>
      <w:pPr>
        <w:widowControl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第四章  管理</w:t>
      </w:r>
    </w:p>
    <w:p>
      <w:pPr>
        <w:spacing w:beforeLines="0" w:afterLines="0"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包括研发准备金的管理流程、部门职责分工、审批/报销程序，研发经费预算、研发经费支出台账管理等内容。</w:t>
      </w:r>
    </w:p>
    <w:p>
      <w:pPr>
        <w:widowControl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第五章  核算、报告与披露（或财务处理）</w:t>
      </w:r>
    </w:p>
    <w:p>
      <w:pPr>
        <w:spacing w:beforeLines="0" w:afterLines="0"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包括研发准备金的计提、转回，以及研发经费支出、研究开发费用归集等事项的会计核算处理，在会计报表中的列示，在附注中的信息披露，以及研发准备金的纳税调整等内容。</w:t>
      </w:r>
    </w:p>
    <w:p>
      <w:pPr>
        <w:widowControl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第六章  附则</w:t>
      </w:r>
    </w:p>
    <w:p>
      <w:pPr>
        <w:spacing w:beforeLines="0" w:afterLines="0" w:line="580" w:lineRule="exact"/>
        <w:jc w:val="left"/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上述各章未尽事项，可在本章中明确。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79516"/>
    <w:rsid w:val="5EB7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/>
      <w:color w:val="000000"/>
      <w:kern w:val="0"/>
      <w:sz w:val="24"/>
      <w:szCs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2024-04-01T17:13:00Z</dcterms:created>
  <dc:creator>greatwall</dc:creator>
  <cp:lastModifiedBy>greatwall</cp:lastModifiedBy>
  <dcterms:modified xsi:type="dcterms:W3CDTF">2024-04-01T17:14:17Z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