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ECE9A">
      <w:pPr>
        <w:bidi w:val="0"/>
        <w:ind w:left="0" w:leftChars="0" w:firstLine="0" w:firstLineChars="0"/>
        <w:jc w:val="both"/>
        <w:rPr>
          <w:rFonts w:ascii="Times New Roman" w:hAnsi="Times New Roman" w:eastAsia="方正小标宋简体" w:cs="Times New Roman"/>
          <w:b w:val="0"/>
          <w:bCs w:val="0"/>
          <w:color w:val="000000"/>
          <w:sz w:val="44"/>
          <w:szCs w:val="28"/>
          <w:lang w:val="en-US" w:eastAsia="en-US" w:bidi="ar-SA"/>
        </w:rPr>
      </w:pPr>
      <w:r>
        <w:rPr>
          <w:rFonts w:hint="eastAsia" w:ascii="Times New Roman" w:hAnsi="Times New Roman" w:eastAsia="黑体" w:cs="黑体"/>
          <w:color w:val="000000"/>
          <w:kern w:val="0"/>
          <w:szCs w:val="32"/>
          <w:lang w:val="en-US" w:eastAsia="zh-CN"/>
        </w:rPr>
        <w:t>附件1</w:t>
      </w:r>
    </w:p>
    <w:p w14:paraId="2F556A1D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21" w:beforeLines="50" w:after="441" w:afterLines="100" w:line="570" w:lineRule="exact"/>
        <w:ind w:left="0" w:leftChars="0" w:firstLine="0" w:firstLineChars="0"/>
        <w:jc w:val="center"/>
        <w:textAlignment w:val="auto"/>
        <w:outlineLvl w:val="0"/>
        <w:rPr>
          <w:rFonts w:ascii="Times New Roman" w:hAnsi="Times New Roman" w:cs="Times New Roman"/>
          <w:color w:val="000000"/>
          <w:kern w:val="0"/>
          <w:szCs w:val="32"/>
          <w:lang w:eastAsia="en-US"/>
        </w:rPr>
      </w:pPr>
      <w:r>
        <w:rPr>
          <w:rFonts w:ascii="Times New Roman" w:hAnsi="Times New Roman" w:eastAsia="方正小标宋简体" w:cs="Times New Roman"/>
          <w:b w:val="0"/>
          <w:bCs w:val="0"/>
          <w:color w:val="000000"/>
          <w:sz w:val="44"/>
          <w:szCs w:val="28"/>
          <w:lang w:val="en-US" w:eastAsia="en-US" w:bidi="ar-SA"/>
        </w:rPr>
        <w:t>湖南省2026年技术经理人大赛活动方案</w:t>
      </w:r>
    </w:p>
    <w:p w14:paraId="1E7C4F48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深入贯彻党的二十</w:t>
      </w:r>
      <w:r>
        <w:rPr>
          <w:rFonts w:hint="eastAsia" w:ascii="Times New Roman" w:hAnsi="Times New Roman" w:eastAsia="仿宋_GB2312"/>
          <w:lang w:eastAsia="en-US"/>
        </w:rPr>
        <w:t>大和二十届</w:t>
      </w:r>
      <w:r>
        <w:rPr>
          <w:rFonts w:hint="eastAsia" w:ascii="Times New Roman" w:hAnsi="Times New Roman" w:eastAsia="仿宋_GB2312"/>
          <w:lang w:val="en-US" w:eastAsia="zh-CN"/>
        </w:rPr>
        <w:t>四中</w:t>
      </w:r>
      <w:r>
        <w:rPr>
          <w:rFonts w:hint="eastAsia" w:ascii="Times New Roman" w:hAnsi="Times New Roman" w:eastAsia="仿宋_GB2312"/>
          <w:lang w:eastAsia="en-US"/>
        </w:rPr>
        <w:t>全会精神，全面落实国家创新驱动发展战略和《湖南省加快高等院校科技成果转化的若干措施》要求，进一步加强我</w:t>
      </w:r>
      <w:r>
        <w:rPr>
          <w:rFonts w:ascii="Times New Roman" w:hAnsi="Times New Roman" w:eastAsia="仿宋_GB2312"/>
          <w:lang w:eastAsia="en-US"/>
        </w:rPr>
        <w:t>省技术经理人队伍专业化、职业化建设，搭建高水平技术经理人交流展示与能力提升平台。通过</w:t>
      </w:r>
      <w:r>
        <w:rPr>
          <w:rFonts w:hint="eastAsia" w:ascii="Times New Roman" w:hAnsi="Times New Roman" w:eastAsia="仿宋_GB2312"/>
          <w:lang w:eastAsia="zh-CN"/>
        </w:rPr>
        <w:t>“</w:t>
      </w:r>
      <w:r>
        <w:rPr>
          <w:rFonts w:ascii="Times New Roman" w:hAnsi="Times New Roman" w:eastAsia="仿宋_GB2312"/>
          <w:lang w:eastAsia="en-US"/>
        </w:rPr>
        <w:t>以赛促学、以赛促用、以赛促融</w:t>
      </w:r>
      <w:r>
        <w:rPr>
          <w:rFonts w:hint="eastAsia" w:ascii="Times New Roman" w:hAnsi="Times New Roman" w:eastAsia="仿宋_GB2312"/>
          <w:lang w:eastAsia="zh-CN"/>
        </w:rPr>
        <w:t>”</w:t>
      </w:r>
      <w:r>
        <w:rPr>
          <w:rFonts w:ascii="Times New Roman" w:hAnsi="Times New Roman" w:eastAsia="仿宋_GB2312"/>
          <w:lang w:eastAsia="en-US"/>
        </w:rPr>
        <w:t>机制，切实提升技术经理人在科技成果转化中的专业服务能力，助力中部区域科技创新协同发展，为实现</w:t>
      </w:r>
      <w:r>
        <w:rPr>
          <w:rFonts w:hint="eastAsia" w:ascii="Times New Roman" w:hAnsi="Times New Roman" w:eastAsia="仿宋_GB2312"/>
          <w:lang w:eastAsia="zh-CN"/>
        </w:rPr>
        <w:t>“</w:t>
      </w:r>
      <w:r>
        <w:rPr>
          <w:rFonts w:ascii="Times New Roman" w:hAnsi="Times New Roman" w:eastAsia="仿宋_GB2312"/>
          <w:lang w:eastAsia="en-US"/>
        </w:rPr>
        <w:t>三高四新</w:t>
      </w:r>
      <w:r>
        <w:rPr>
          <w:rFonts w:hint="eastAsia" w:ascii="Times New Roman" w:hAnsi="Times New Roman" w:eastAsia="仿宋_GB2312"/>
          <w:lang w:eastAsia="zh-CN"/>
        </w:rPr>
        <w:t>”</w:t>
      </w:r>
      <w:r>
        <w:rPr>
          <w:rFonts w:ascii="Times New Roman" w:hAnsi="Times New Roman" w:eastAsia="仿宋_GB2312"/>
          <w:lang w:eastAsia="en-US"/>
        </w:rPr>
        <w:t>美好蓝图提供坚实的技术转移人才支撑。</w:t>
      </w:r>
    </w:p>
    <w:p w14:paraId="34C25AA1">
      <w:pPr>
        <w:pStyle w:val="3"/>
        <w:bidi w:val="0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大赛主题</w:t>
      </w:r>
    </w:p>
    <w:p w14:paraId="56F3DE09">
      <w:pPr>
        <w:bidi w:val="0"/>
        <w:rPr>
          <w:rFonts w:hint="eastAsia" w:ascii="Times New Roman" w:hAnsi="Times New Roman" w:eastAsia="仿宋_GB2312"/>
          <w:lang w:eastAsia="zh-CN"/>
        </w:rPr>
      </w:pPr>
      <w:r>
        <w:rPr>
          <w:rFonts w:ascii="Times New Roman" w:hAnsi="Times New Roman" w:eastAsia="仿宋_GB2312"/>
          <w:lang w:eastAsia="en-US"/>
        </w:rPr>
        <w:t>技转潇湘·创享未来</w:t>
      </w:r>
    </w:p>
    <w:p w14:paraId="31533DC8">
      <w:pPr>
        <w:pStyle w:val="3"/>
        <w:bidi w:val="0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大赛组织</w:t>
      </w:r>
    </w:p>
    <w:p w14:paraId="2E85DB50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（一）指导单位</w:t>
      </w:r>
    </w:p>
    <w:p w14:paraId="6F2AD1EA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湖南省科学技术厅</w:t>
      </w:r>
    </w:p>
    <w:p w14:paraId="6953F242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（二）主办单位</w:t>
      </w:r>
    </w:p>
    <w:p w14:paraId="754AFE27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湖南省科学技术事务中心</w:t>
      </w:r>
    </w:p>
    <w:p w14:paraId="256C86F2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（</w:t>
      </w:r>
      <w:r>
        <w:rPr>
          <w:rFonts w:hint="eastAsia" w:ascii="Times New Roman" w:hAnsi="Times New Roman" w:eastAsia="仿宋_GB2312"/>
          <w:lang w:val="en-US" w:eastAsia="zh-CN"/>
        </w:rPr>
        <w:t>三</w:t>
      </w:r>
      <w:r>
        <w:rPr>
          <w:rFonts w:ascii="Times New Roman" w:hAnsi="Times New Roman" w:eastAsia="仿宋_GB2312"/>
          <w:lang w:eastAsia="en-US"/>
        </w:rPr>
        <w:t>）</w:t>
      </w:r>
      <w:r>
        <w:rPr>
          <w:rFonts w:hint="eastAsia" w:ascii="Times New Roman" w:hAnsi="Times New Roman" w:eastAsia="仿宋_GB2312"/>
          <w:lang w:val="en-US" w:eastAsia="zh-CN"/>
        </w:rPr>
        <w:t>承办</w:t>
      </w:r>
      <w:r>
        <w:rPr>
          <w:rFonts w:ascii="Times New Roman" w:hAnsi="Times New Roman" w:eastAsia="仿宋_GB2312"/>
          <w:lang w:eastAsia="en-US"/>
        </w:rPr>
        <w:t>单位</w:t>
      </w:r>
    </w:p>
    <w:p w14:paraId="48918235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湖南省技术产权交易中心</w:t>
      </w:r>
      <w:r>
        <w:rPr>
          <w:rFonts w:hint="eastAsia" w:ascii="Times New Roman" w:hAnsi="Times New Roman" w:eastAsia="仿宋_GB2312"/>
          <w:lang w:eastAsia="zh-CN"/>
        </w:rPr>
        <w:t>、</w:t>
      </w:r>
      <w:r>
        <w:rPr>
          <w:rFonts w:ascii="Times New Roman" w:hAnsi="Times New Roman" w:eastAsia="仿宋_GB2312"/>
          <w:lang w:eastAsia="en-US"/>
        </w:rPr>
        <w:t>湖南省技术产权交易所有限责任公司</w:t>
      </w:r>
    </w:p>
    <w:p w14:paraId="4E20E3A3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（四）协办单位</w:t>
      </w:r>
    </w:p>
    <w:p w14:paraId="2E990229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default" w:ascii="Times New Roman" w:hAnsi="Times New Roman" w:eastAsia="仿宋_GB2312"/>
          <w:lang w:val="en-US" w:eastAsia="zh-CN"/>
        </w:rPr>
        <w:t>长沙银行股份有限公司</w:t>
      </w:r>
    </w:p>
    <w:p w14:paraId="2A74E63A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（</w:t>
      </w:r>
      <w:r>
        <w:rPr>
          <w:rFonts w:hint="eastAsia" w:ascii="Times New Roman" w:hAnsi="Times New Roman" w:eastAsia="仿宋_GB2312"/>
          <w:lang w:val="en-US" w:eastAsia="zh-CN"/>
        </w:rPr>
        <w:t>五</w:t>
      </w:r>
      <w:r>
        <w:rPr>
          <w:rFonts w:ascii="Times New Roman" w:hAnsi="Times New Roman" w:eastAsia="仿宋_GB2312"/>
          <w:lang w:eastAsia="en-US"/>
        </w:rPr>
        <w:t>）组织委员会</w:t>
      </w:r>
    </w:p>
    <w:p w14:paraId="700F898C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大赛设组织委员会，由指导单位、主办单位、承办单位相关负责人组成，负责大赛各项工作的统筹协调和组织实施。组委会下设办公室，设在湖南省技术产权交易所有限责任公司，负责大赛日常事务。</w:t>
      </w:r>
    </w:p>
    <w:p w14:paraId="2E46FAE6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（</w:t>
      </w:r>
      <w:r>
        <w:rPr>
          <w:rFonts w:hint="eastAsia" w:ascii="Times New Roman" w:hAnsi="Times New Roman" w:eastAsia="仿宋_GB2312"/>
          <w:lang w:val="en-US" w:eastAsia="zh-CN"/>
        </w:rPr>
        <w:t>六</w:t>
      </w:r>
      <w:r>
        <w:rPr>
          <w:rFonts w:ascii="Times New Roman" w:hAnsi="Times New Roman" w:eastAsia="仿宋_GB2312"/>
          <w:lang w:eastAsia="en-US"/>
        </w:rPr>
        <w:t>）专家评审委员会</w:t>
      </w:r>
    </w:p>
    <w:p w14:paraId="4AD1674F">
      <w:pPr>
        <w:bidi w:val="0"/>
        <w:rPr>
          <w:rFonts w:ascii="Times New Roman" w:hAnsi="Times New Roman" w:eastAsia="仿宋_GB2312"/>
          <w:lang w:eastAsia="en-US"/>
        </w:rPr>
      </w:pPr>
      <w:r>
        <w:rPr>
          <w:rFonts w:ascii="Times New Roman" w:hAnsi="Times New Roman" w:eastAsia="仿宋_GB2312"/>
          <w:lang w:eastAsia="en-US"/>
        </w:rPr>
        <w:t>从湖南省</w:t>
      </w:r>
      <w:r>
        <w:rPr>
          <w:rFonts w:hint="eastAsia" w:ascii="Times New Roman" w:hAnsi="Times New Roman" w:eastAsia="仿宋_GB2312"/>
          <w:lang w:val="en-US" w:eastAsia="zh-CN"/>
        </w:rPr>
        <w:t>科技厅</w:t>
      </w:r>
      <w:r>
        <w:rPr>
          <w:rFonts w:ascii="Times New Roman" w:hAnsi="Times New Roman" w:eastAsia="仿宋_GB2312"/>
          <w:lang w:eastAsia="en-US"/>
        </w:rPr>
        <w:t>专家库中随机抽取7名行业专家组成评审委员会</w:t>
      </w:r>
      <w:r>
        <w:rPr>
          <w:rFonts w:hint="eastAsia" w:ascii="Times New Roman" w:hAnsi="Times New Roman" w:eastAsia="仿宋_GB2312"/>
          <w:lang w:eastAsia="zh-CN"/>
        </w:rPr>
        <w:t>。</w:t>
      </w:r>
      <w:r>
        <w:rPr>
          <w:rFonts w:ascii="Times New Roman" w:hAnsi="Times New Roman" w:eastAsia="仿宋_GB2312"/>
          <w:lang w:eastAsia="en-US"/>
        </w:rPr>
        <w:t>评审专家须签订诚信承诺书，严格履行评审职责。</w:t>
      </w:r>
    </w:p>
    <w:p w14:paraId="4AE776F5">
      <w:pPr>
        <w:pStyle w:val="3"/>
        <w:bidi w:val="0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参赛要求</w:t>
      </w:r>
    </w:p>
    <w:p w14:paraId="7CF97BCF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各市州须组织推荐</w:t>
      </w:r>
      <w:r>
        <w:rPr>
          <w:rFonts w:hint="eastAsia" w:ascii="Times New Roman" w:hAnsi="Times New Roman" w:eastAsia="仿宋_GB2312"/>
          <w:lang w:val="en-US" w:eastAsia="zh-CN"/>
        </w:rPr>
        <w:t>不少于</w:t>
      </w:r>
      <w:r>
        <w:rPr>
          <w:rFonts w:hint="eastAsia" w:ascii="Times New Roman" w:hAnsi="Times New Roman" w:eastAsia="仿宋_GB2312"/>
          <w:lang w:val="en-US" w:eastAsia="en-US"/>
        </w:rPr>
        <w:t>3支队伍参赛。每支参赛队伍</w:t>
      </w:r>
      <w:r>
        <w:rPr>
          <w:rFonts w:hint="eastAsia" w:ascii="Times New Roman" w:hAnsi="Times New Roman" w:eastAsia="仿宋_GB2312"/>
          <w:lang w:val="en-US" w:eastAsia="zh-CN"/>
        </w:rPr>
        <w:t>由</w:t>
      </w:r>
      <w:r>
        <w:rPr>
          <w:rFonts w:hint="eastAsia" w:ascii="Times New Roman" w:hAnsi="Times New Roman" w:eastAsia="仿宋_GB2312"/>
          <w:lang w:val="en-US" w:eastAsia="en-US"/>
        </w:rPr>
        <w:t>不超过3名技术经理人组成。</w:t>
      </w:r>
    </w:p>
    <w:p w14:paraId="20AE3BB3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（一）参赛对象</w:t>
      </w:r>
    </w:p>
    <w:p w14:paraId="03F35A0C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1. 潇湘科技要素大市场</w:t>
      </w:r>
      <w:r>
        <w:rPr>
          <w:rFonts w:hint="eastAsia" w:ascii="Times New Roman" w:hAnsi="Times New Roman" w:eastAsia="仿宋_GB2312"/>
          <w:lang w:val="en-US" w:eastAsia="zh-CN"/>
        </w:rPr>
        <w:t>各分市场及工作站的技术经理人；</w:t>
      </w:r>
    </w:p>
    <w:p w14:paraId="2A824DD5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2. 高校</w:t>
      </w:r>
      <w:r>
        <w:rPr>
          <w:rFonts w:hint="eastAsia" w:ascii="Times New Roman" w:hAnsi="Times New Roman" w:eastAsia="仿宋_GB2312"/>
          <w:lang w:val="en-US" w:eastAsia="zh-CN"/>
        </w:rPr>
        <w:t>和</w:t>
      </w:r>
      <w:r>
        <w:rPr>
          <w:rFonts w:hint="eastAsia" w:ascii="Times New Roman" w:hAnsi="Times New Roman" w:eastAsia="仿宋_GB2312"/>
          <w:lang w:val="en-US" w:eastAsia="en-US"/>
        </w:rPr>
        <w:t>科研院所</w:t>
      </w:r>
      <w:r>
        <w:rPr>
          <w:rFonts w:hint="eastAsia" w:ascii="Times New Roman" w:hAnsi="Times New Roman" w:eastAsia="仿宋_GB2312"/>
          <w:lang w:val="en-US" w:eastAsia="zh-CN"/>
        </w:rPr>
        <w:t>中</w:t>
      </w:r>
      <w:r>
        <w:rPr>
          <w:rFonts w:hint="eastAsia" w:ascii="Times New Roman" w:hAnsi="Times New Roman" w:eastAsia="仿宋_GB2312"/>
          <w:lang w:val="en-US" w:eastAsia="en-US"/>
        </w:rPr>
        <w:t>从事科技成果转化的技术经理人或相关人员（团队）</w:t>
      </w:r>
      <w:r>
        <w:rPr>
          <w:rFonts w:hint="eastAsia" w:ascii="Times New Roman" w:hAnsi="Times New Roman" w:eastAsia="仿宋_GB2312"/>
          <w:lang w:val="en-US" w:eastAsia="zh-CN"/>
        </w:rPr>
        <w:t>；</w:t>
      </w:r>
    </w:p>
    <w:p w14:paraId="1EA94BC0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3. 新型研发机构、</w:t>
      </w:r>
      <w:r>
        <w:rPr>
          <w:rFonts w:hint="eastAsia" w:ascii="Times New Roman" w:hAnsi="Times New Roman" w:eastAsia="仿宋_GB2312"/>
          <w:lang w:val="en-US" w:eastAsia="zh-CN"/>
        </w:rPr>
        <w:t>技术转移机构、</w:t>
      </w:r>
      <w:r>
        <w:rPr>
          <w:rFonts w:hint="eastAsia" w:ascii="Times New Roman" w:hAnsi="Times New Roman" w:eastAsia="仿宋_GB2312"/>
          <w:lang w:val="en-US" w:eastAsia="en-US"/>
        </w:rPr>
        <w:t>孵化载体和</w:t>
      </w:r>
      <w:r>
        <w:rPr>
          <w:rFonts w:hint="eastAsia" w:ascii="Times New Roman" w:hAnsi="Times New Roman" w:eastAsia="仿宋_GB2312"/>
          <w:lang w:val="en-US" w:eastAsia="zh-CN"/>
        </w:rPr>
        <w:t>中试基地</w:t>
      </w:r>
      <w:r>
        <w:rPr>
          <w:rFonts w:hint="eastAsia" w:ascii="Times New Roman" w:hAnsi="Times New Roman" w:eastAsia="仿宋_GB2312"/>
          <w:lang w:val="en-US" w:eastAsia="en-US"/>
        </w:rPr>
        <w:t>等单位中从事科技成果转化的技术经理人或相关人员（团队）</w:t>
      </w:r>
      <w:r>
        <w:rPr>
          <w:rFonts w:hint="eastAsia" w:ascii="Times New Roman" w:hAnsi="Times New Roman" w:eastAsia="仿宋_GB2312"/>
          <w:lang w:val="en-US" w:eastAsia="zh-CN"/>
        </w:rPr>
        <w:t>。</w:t>
      </w:r>
    </w:p>
    <w:p w14:paraId="0E8CBE49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 xml:space="preserve">4. </w:t>
      </w:r>
      <w:r>
        <w:rPr>
          <w:rFonts w:hint="eastAsia" w:ascii="Times New Roman" w:hAnsi="Times New Roman" w:eastAsia="仿宋_GB2312"/>
          <w:lang w:val="en-US" w:eastAsia="en-US"/>
        </w:rPr>
        <w:t>相关企业中从事科技成果转化的技术经理人或相关人员（团队）</w:t>
      </w:r>
      <w:r>
        <w:rPr>
          <w:rFonts w:hint="eastAsia" w:ascii="Times New Roman" w:hAnsi="Times New Roman" w:eastAsia="仿宋_GB2312"/>
          <w:lang w:val="en-US" w:eastAsia="zh-CN"/>
        </w:rPr>
        <w:t>。</w:t>
      </w:r>
    </w:p>
    <w:p w14:paraId="6E2A5417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（二）参赛</w:t>
      </w:r>
      <w:r>
        <w:rPr>
          <w:rFonts w:hint="eastAsia" w:ascii="Times New Roman" w:hAnsi="Times New Roman" w:eastAsia="仿宋_GB2312"/>
          <w:lang w:val="en-US" w:eastAsia="zh-CN"/>
        </w:rPr>
        <w:t>资格</w:t>
      </w:r>
    </w:p>
    <w:p w14:paraId="39015074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zh-CN"/>
        </w:rPr>
        <w:t>1</w:t>
      </w:r>
      <w:r>
        <w:rPr>
          <w:rFonts w:hint="eastAsia" w:ascii="Times New Roman" w:hAnsi="Times New Roman" w:eastAsia="仿宋_GB2312"/>
          <w:lang w:val="en-US" w:eastAsia="en-US"/>
        </w:rPr>
        <w:t>. 参赛技术经理人（团队）</w:t>
      </w:r>
      <w:r>
        <w:rPr>
          <w:rFonts w:hint="eastAsia" w:ascii="Times New Roman" w:hAnsi="Times New Roman" w:eastAsia="仿宋_GB2312"/>
          <w:lang w:val="en-US" w:eastAsia="zh-CN"/>
        </w:rPr>
        <w:t>持有技术经理人证书；</w:t>
      </w:r>
      <w:r>
        <w:rPr>
          <w:rFonts w:hint="eastAsia" w:ascii="Times New Roman" w:hAnsi="Times New Roman" w:eastAsia="仿宋_GB2312"/>
          <w:lang w:val="en-US" w:eastAsia="en-US"/>
        </w:rPr>
        <w:t>无科研失信记录及行政处罚；参赛项目符合国家法律法规及产业政策，不涉密、不侵权；</w:t>
      </w:r>
    </w:p>
    <w:p w14:paraId="3B7D6333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2. 参赛技术经理人（团队）须主导不少于1项，或参与不少于3项科技成果转化典型案例；</w:t>
      </w:r>
    </w:p>
    <w:p w14:paraId="494FC211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3. 参赛汇报及路演内容须为原创，严禁抄袭、剽窃他人成果。</w:t>
      </w:r>
    </w:p>
    <w:p w14:paraId="005BDEE3">
      <w:pPr>
        <w:pStyle w:val="3"/>
        <w:bidi w:val="0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大赛安排</w:t>
      </w:r>
    </w:p>
    <w:p w14:paraId="3BAFC37C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大赛分为报名、半决赛、决赛三个阶段，大赛组委会将按照公开、公平、公正原则组织比赛。</w:t>
      </w:r>
    </w:p>
    <w:p w14:paraId="6BEABF20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（一）报名阶段</w:t>
      </w:r>
    </w:p>
    <w:p w14:paraId="5665273C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1. 时间：2026年</w:t>
      </w:r>
      <w:r>
        <w:rPr>
          <w:rFonts w:hint="eastAsia" w:ascii="Times New Roman" w:hAnsi="Times New Roman" w:eastAsia="仿宋_GB2312"/>
          <w:lang w:val="en-US" w:eastAsia="zh-CN"/>
        </w:rPr>
        <w:t>10</w:t>
      </w:r>
      <w:r>
        <w:rPr>
          <w:rFonts w:hint="eastAsia" w:ascii="Times New Roman" w:hAnsi="Times New Roman" w:eastAsia="仿宋_GB2312"/>
          <w:lang w:val="en-US" w:eastAsia="en-US"/>
        </w:rPr>
        <w:t>月</w:t>
      </w:r>
      <w:r>
        <w:rPr>
          <w:rFonts w:hint="eastAsia" w:ascii="Times New Roman" w:hAnsi="Times New Roman" w:eastAsia="仿宋_GB2312"/>
          <w:lang w:val="en-US" w:eastAsia="zh-CN"/>
        </w:rPr>
        <w:t>8日至31日</w:t>
      </w:r>
    </w:p>
    <w:p w14:paraId="19AF86C5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2. 报名方式：</w:t>
      </w:r>
    </w:p>
    <w:p w14:paraId="412B85E1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各市州科技局</w:t>
      </w:r>
      <w:r>
        <w:rPr>
          <w:rFonts w:hint="eastAsia" w:ascii="Times New Roman" w:hAnsi="Times New Roman" w:eastAsia="仿宋_GB2312"/>
          <w:lang w:val="en-US" w:eastAsia="zh-CN"/>
        </w:rPr>
        <w:t>、湘江新区管委会及有关单位</w:t>
      </w:r>
      <w:r>
        <w:rPr>
          <w:rFonts w:hint="eastAsia" w:ascii="Times New Roman" w:hAnsi="Times New Roman" w:eastAsia="仿宋_GB2312"/>
          <w:lang w:val="en-US" w:eastAsia="en-US"/>
        </w:rPr>
        <w:t>负责本地区宣传推广，动员优秀技术经理人（团队）报名参赛；确认参赛意向后，组织填写《湖南省2026年技术经理人大赛报名表》，汇总后统一发送至hntpe@sina.com（邮件标题请备注：所在地市州+单位+姓名/团队名称）。</w:t>
      </w:r>
    </w:p>
    <w:p w14:paraId="63C520A6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（二）半决赛阶段</w:t>
      </w:r>
    </w:p>
    <w:p w14:paraId="5BA9F8F8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1.</w:t>
      </w:r>
      <w:r>
        <w:rPr>
          <w:rFonts w:hint="eastAsia" w:ascii="Times New Roman" w:hAnsi="Times New Roman" w:eastAsia="仿宋_GB231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lang w:val="en-US" w:eastAsia="en-US"/>
        </w:rPr>
        <w:t>时间：</w:t>
      </w:r>
      <w:r>
        <w:rPr>
          <w:rFonts w:hint="eastAsia" w:ascii="Times New Roman" w:hAnsi="Times New Roman" w:eastAsia="仿宋_GB2312"/>
          <w:lang w:val="en-US" w:eastAsia="zh-CN"/>
        </w:rPr>
        <w:t>2026年11月上旬</w:t>
      </w:r>
    </w:p>
    <w:p w14:paraId="3C07E3F2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2. 参赛对象：通过资格审查的参赛技术经理人（团队）</w:t>
      </w:r>
    </w:p>
    <w:p w14:paraId="663B0B22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3. 比赛方式</w:t>
      </w:r>
    </w:p>
    <w:p w14:paraId="1F9E96AF">
      <w:pPr>
        <w:bidi w:val="0"/>
        <w:rPr>
          <w:rFonts w:hint="default" w:ascii="Times New Roman" w:hAnsi="Times New Roman" w:eastAsia="仿宋_GB2312"/>
          <w:lang w:val="en-US" w:eastAsia="en-US"/>
        </w:rPr>
      </w:pPr>
      <w:r>
        <w:rPr>
          <w:rFonts w:hint="default" w:ascii="Times New Roman" w:hAnsi="Times New Roman" w:eastAsia="仿宋_GB2312"/>
          <w:lang w:val="en-US" w:eastAsia="zh-CN"/>
        </w:rPr>
        <w:t>（1）</w:t>
      </w:r>
      <w:r>
        <w:rPr>
          <w:rFonts w:hint="eastAsia" w:ascii="Times New Roman" w:hAnsi="Times New Roman" w:eastAsia="仿宋_GB2312"/>
          <w:lang w:val="en-US" w:eastAsia="zh-CN"/>
        </w:rPr>
        <w:t>参赛</w:t>
      </w:r>
      <w:r>
        <w:rPr>
          <w:rFonts w:hint="default" w:ascii="Times New Roman" w:hAnsi="Times New Roman" w:eastAsia="仿宋_GB2312"/>
          <w:lang w:val="en-US" w:eastAsia="zh-CN"/>
        </w:rPr>
        <w:t>形式：采取线上视频</w:t>
      </w:r>
      <w:r>
        <w:rPr>
          <w:rFonts w:hint="eastAsia" w:ascii="Times New Roman" w:hAnsi="Times New Roman" w:eastAsia="仿宋_GB2312"/>
          <w:lang w:val="en-US" w:eastAsia="zh-CN"/>
        </w:rPr>
        <w:t>形式，</w:t>
      </w:r>
      <w:r>
        <w:rPr>
          <w:rFonts w:hint="default" w:ascii="Times New Roman" w:hAnsi="Times New Roman" w:eastAsia="仿宋_GB2312"/>
          <w:lang w:val="en-US" w:eastAsia="zh-CN"/>
        </w:rPr>
        <w:t>参赛技术经理人（团队）以PPT报告形式汇报参赛项目</w:t>
      </w:r>
      <w:r>
        <w:rPr>
          <w:rFonts w:hint="eastAsia" w:ascii="Times New Roman" w:hAnsi="Times New Roman" w:eastAsia="仿宋_GB2312"/>
          <w:lang w:val="en-US" w:eastAsia="zh-CN"/>
        </w:rPr>
        <w:t>（</w:t>
      </w:r>
      <w:r>
        <w:rPr>
          <w:rFonts w:hint="default" w:ascii="Times New Roman" w:hAnsi="Times New Roman" w:eastAsia="仿宋_GB2312"/>
          <w:lang w:val="en-US" w:eastAsia="zh-CN"/>
        </w:rPr>
        <w:t>5分钟）</w:t>
      </w:r>
      <w:r>
        <w:rPr>
          <w:rFonts w:hint="eastAsia" w:ascii="Times New Roman" w:hAnsi="Times New Roman" w:eastAsia="仿宋_GB2312"/>
          <w:lang w:val="en-US" w:eastAsia="zh-CN"/>
        </w:rPr>
        <w:t>，评审专家点评及选手答辩（2分钟）。</w:t>
      </w:r>
    </w:p>
    <w:p w14:paraId="4C0DDAF0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default" w:ascii="Times New Roman" w:hAnsi="Times New Roman" w:eastAsia="仿宋_GB2312"/>
          <w:lang w:val="en-US" w:eastAsia="zh-CN"/>
        </w:rPr>
        <w:t>（2）PPT</w:t>
      </w:r>
      <w:r>
        <w:rPr>
          <w:rFonts w:hint="eastAsia" w:ascii="Times New Roman" w:hAnsi="Times New Roman" w:eastAsia="仿宋_GB2312"/>
          <w:lang w:val="en-US" w:eastAsia="zh-CN"/>
        </w:rPr>
        <w:t>要求</w:t>
      </w:r>
      <w:r>
        <w:rPr>
          <w:rFonts w:hint="default" w:ascii="Times New Roman" w:hAnsi="Times New Roman" w:eastAsia="仿宋_GB2312"/>
          <w:lang w:val="en-US" w:eastAsia="zh-CN"/>
        </w:rPr>
        <w:t>：</w:t>
      </w:r>
      <w:r>
        <w:rPr>
          <w:rFonts w:hint="eastAsia" w:ascii="Times New Roman" w:hAnsi="Times New Roman" w:eastAsia="仿宋_GB2312"/>
          <w:lang w:val="en-US" w:eastAsia="zh-CN"/>
        </w:rPr>
        <w:t>展示</w:t>
      </w:r>
      <w:r>
        <w:rPr>
          <w:rFonts w:hint="default" w:ascii="Times New Roman" w:hAnsi="Times New Roman" w:eastAsia="仿宋_GB2312"/>
          <w:lang w:val="en-US" w:eastAsia="zh-CN"/>
        </w:rPr>
        <w:t>参赛技术经理人（团队）近三年技术转移工作业绩及典型服务案例，围绕案例中的转化思路、服务特色、个人贡献、经济社会效益进行重点阐述。</w:t>
      </w:r>
    </w:p>
    <w:p w14:paraId="2ECE4FAE">
      <w:pPr>
        <w:bidi w:val="0"/>
        <w:rPr>
          <w:rFonts w:hint="default" w:ascii="Times New Roman" w:hAnsi="Times New Roman" w:eastAsia="仿宋_GB2312"/>
          <w:lang w:val="en-US" w:eastAsia="en-US"/>
        </w:rPr>
      </w:pPr>
      <w:r>
        <w:rPr>
          <w:rFonts w:hint="default" w:ascii="Times New Roman" w:hAnsi="Times New Roman" w:eastAsia="仿宋_GB2312"/>
          <w:lang w:val="en-US" w:eastAsia="zh-CN"/>
        </w:rPr>
        <w:t>（3）汇报要求：环境无杂音干扰、无旁人误入画面，网络稳定、画面无晃动、音像同步。</w:t>
      </w:r>
    </w:p>
    <w:p w14:paraId="7D6E864D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（4）半决赛得分排名前15名的参赛队伍进入决赛。</w:t>
      </w:r>
    </w:p>
    <w:p w14:paraId="47FAAE53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4.</w:t>
      </w:r>
      <w:r>
        <w:rPr>
          <w:rFonts w:hint="eastAsia" w:ascii="Times New Roman" w:hAnsi="Times New Roman" w:eastAsia="仿宋_GB231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lang w:val="en-US" w:eastAsia="en-US"/>
        </w:rPr>
        <w:t>评审规则：</w:t>
      </w:r>
    </w:p>
    <w:p w14:paraId="17F364AE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zh-CN"/>
        </w:rPr>
        <w:t>（</w:t>
      </w:r>
      <w:r>
        <w:rPr>
          <w:rFonts w:hint="eastAsia" w:ascii="Times New Roman" w:hAnsi="Times New Roman" w:eastAsia="仿宋_GB2312"/>
          <w:lang w:val="en-US" w:eastAsia="en-US"/>
        </w:rPr>
        <w:t>1</w:t>
      </w:r>
      <w:r>
        <w:rPr>
          <w:rFonts w:hint="eastAsia" w:ascii="Times New Roman" w:hAnsi="Times New Roman" w:eastAsia="仿宋_GB2312"/>
          <w:lang w:val="en-US" w:eastAsia="zh-CN"/>
        </w:rPr>
        <w:t>）</w:t>
      </w:r>
      <w:r>
        <w:rPr>
          <w:rFonts w:hint="eastAsia" w:ascii="Times New Roman" w:hAnsi="Times New Roman" w:eastAsia="仿宋_GB2312"/>
          <w:lang w:val="en-US" w:eastAsia="en-US"/>
        </w:rPr>
        <w:t>比赛顺序以抽签方式确定；</w:t>
      </w:r>
    </w:p>
    <w:p w14:paraId="5C6588B5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zh-CN"/>
        </w:rPr>
        <w:t>（</w:t>
      </w:r>
      <w:r>
        <w:rPr>
          <w:rFonts w:hint="eastAsia" w:ascii="Times New Roman" w:hAnsi="Times New Roman" w:eastAsia="仿宋_GB2312"/>
          <w:lang w:val="en-US" w:eastAsia="en-US"/>
        </w:rPr>
        <w:t>2</w:t>
      </w:r>
      <w:r>
        <w:rPr>
          <w:rFonts w:hint="eastAsia" w:ascii="Times New Roman" w:hAnsi="Times New Roman" w:eastAsia="仿宋_GB2312"/>
          <w:lang w:val="en-US" w:eastAsia="zh-CN"/>
        </w:rPr>
        <w:t>）</w:t>
      </w:r>
      <w:r>
        <w:rPr>
          <w:rFonts w:hint="eastAsia" w:ascii="Times New Roman" w:hAnsi="Times New Roman" w:eastAsia="仿宋_GB2312"/>
          <w:lang w:val="en-US" w:eastAsia="en-US"/>
        </w:rPr>
        <w:t>评审组由7名从湖南省</w:t>
      </w:r>
      <w:r>
        <w:rPr>
          <w:rFonts w:hint="eastAsia" w:ascii="Times New Roman" w:hAnsi="Times New Roman" w:eastAsia="仿宋_GB2312"/>
          <w:lang w:val="en-US" w:eastAsia="zh-CN"/>
        </w:rPr>
        <w:t>科技厅</w:t>
      </w:r>
      <w:r>
        <w:rPr>
          <w:rFonts w:hint="eastAsia" w:ascii="Times New Roman" w:hAnsi="Times New Roman" w:eastAsia="仿宋_GB2312"/>
          <w:lang w:val="en-US" w:eastAsia="en-US"/>
        </w:rPr>
        <w:t>专家库中随机抽取的行业专家组成；</w:t>
      </w:r>
    </w:p>
    <w:p w14:paraId="5373BF8C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（3）评分依据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860"/>
        <w:gridCol w:w="6584"/>
      </w:tblGrid>
      <w:tr w14:paraId="2C278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vAlign w:val="center"/>
          </w:tcPr>
          <w:p w14:paraId="57789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评审维度</w:t>
            </w:r>
          </w:p>
        </w:tc>
        <w:tc>
          <w:tcPr>
            <w:tcW w:w="860" w:type="dxa"/>
            <w:vAlign w:val="center"/>
          </w:tcPr>
          <w:p w14:paraId="093E3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分值</w:t>
            </w:r>
          </w:p>
        </w:tc>
        <w:tc>
          <w:tcPr>
            <w:tcW w:w="6584" w:type="dxa"/>
            <w:vAlign w:val="center"/>
          </w:tcPr>
          <w:p w14:paraId="74B01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评审要点</w:t>
            </w:r>
          </w:p>
        </w:tc>
      </w:tr>
      <w:tr w14:paraId="270FF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0" w:type="auto"/>
            <w:vAlign w:val="center"/>
          </w:tcPr>
          <w:p w14:paraId="5122A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技术经纪工作成效</w:t>
            </w:r>
          </w:p>
        </w:tc>
        <w:tc>
          <w:tcPr>
            <w:tcW w:w="860" w:type="dxa"/>
            <w:vAlign w:val="center"/>
          </w:tcPr>
          <w:p w14:paraId="4F34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40</w:t>
            </w:r>
          </w:p>
        </w:tc>
        <w:tc>
          <w:tcPr>
            <w:tcW w:w="6584" w:type="dxa"/>
            <w:vAlign w:val="center"/>
          </w:tcPr>
          <w:p w14:paraId="45950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近三年科技成果转化项目数量、合同金额、转化方式多样性、落地成效；典型案例的完整性和代表性</w:t>
            </w:r>
          </w:p>
        </w:tc>
      </w:tr>
      <w:tr w14:paraId="6897B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0" w:type="auto"/>
            <w:vAlign w:val="center"/>
          </w:tcPr>
          <w:p w14:paraId="0277D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关键科技服务能力</w:t>
            </w:r>
          </w:p>
        </w:tc>
        <w:tc>
          <w:tcPr>
            <w:tcW w:w="860" w:type="dxa"/>
            <w:vAlign w:val="center"/>
          </w:tcPr>
          <w:p w14:paraId="4485F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25</w:t>
            </w:r>
          </w:p>
        </w:tc>
        <w:tc>
          <w:tcPr>
            <w:tcW w:w="6584" w:type="dxa"/>
            <w:vAlign w:val="center"/>
          </w:tcPr>
          <w:p w14:paraId="1C3ED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解决知识产权难题、交易定价难题、融资难题的能力；技术评估、市场分析、商务谈判等专业能力</w:t>
            </w:r>
          </w:p>
        </w:tc>
      </w:tr>
      <w:tr w14:paraId="43B4D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0" w:type="auto"/>
            <w:vAlign w:val="center"/>
          </w:tcPr>
          <w:p w14:paraId="15B13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路演展示及答辩表现</w:t>
            </w:r>
          </w:p>
        </w:tc>
        <w:tc>
          <w:tcPr>
            <w:tcW w:w="860" w:type="dxa"/>
            <w:vAlign w:val="center"/>
          </w:tcPr>
          <w:p w14:paraId="69D58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25</w:t>
            </w:r>
          </w:p>
        </w:tc>
        <w:tc>
          <w:tcPr>
            <w:tcW w:w="6584" w:type="dxa"/>
            <w:vAlign w:val="center"/>
          </w:tcPr>
          <w:p w14:paraId="76D6A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PPT制作质量、表达逻辑清晰度、现场感染力、答辩准确性与应变能力</w:t>
            </w:r>
          </w:p>
        </w:tc>
      </w:tr>
      <w:tr w14:paraId="12FF9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0" w:type="auto"/>
            <w:vAlign w:val="center"/>
          </w:tcPr>
          <w:p w14:paraId="6EC7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创新与示范价值</w:t>
            </w:r>
          </w:p>
        </w:tc>
        <w:tc>
          <w:tcPr>
            <w:tcW w:w="860" w:type="dxa"/>
            <w:vAlign w:val="center"/>
          </w:tcPr>
          <w:p w14:paraId="0BCC6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10</w:t>
            </w:r>
          </w:p>
        </w:tc>
        <w:tc>
          <w:tcPr>
            <w:tcW w:w="6584" w:type="dxa"/>
            <w:vAlign w:val="center"/>
          </w:tcPr>
          <w:p w14:paraId="4B211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转化模式创新、服务机制创新、可复制推广性、行业示范效应</w:t>
            </w:r>
          </w:p>
        </w:tc>
      </w:tr>
      <w:tr w14:paraId="3AF50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0" w:type="auto"/>
            <w:vAlign w:val="center"/>
          </w:tcPr>
          <w:p w14:paraId="02A5B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合计</w:t>
            </w:r>
          </w:p>
        </w:tc>
        <w:tc>
          <w:tcPr>
            <w:tcW w:w="860" w:type="dxa"/>
            <w:vAlign w:val="center"/>
          </w:tcPr>
          <w:p w14:paraId="102AA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100</w:t>
            </w:r>
          </w:p>
        </w:tc>
        <w:tc>
          <w:tcPr>
            <w:tcW w:w="6584" w:type="dxa"/>
            <w:vAlign w:val="center"/>
          </w:tcPr>
          <w:p w14:paraId="79E62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/>
                <w:lang w:val="en-US" w:eastAsia="en-US"/>
              </w:rPr>
            </w:pPr>
            <w:r>
              <w:rPr>
                <w:rFonts w:hint="eastAsia" w:ascii="Times New Roman" w:hAnsi="Times New Roman" w:eastAsia="仿宋_GB2312"/>
                <w:lang w:val="en-US" w:eastAsia="en-US"/>
              </w:rPr>
              <w:t>—</w:t>
            </w:r>
          </w:p>
        </w:tc>
      </w:tr>
    </w:tbl>
    <w:p w14:paraId="49970ECE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（</w:t>
      </w:r>
      <w:r>
        <w:rPr>
          <w:rFonts w:hint="eastAsia" w:ascii="Times New Roman" w:hAnsi="Times New Roman" w:eastAsia="仿宋_GB2312"/>
          <w:lang w:val="en-US" w:eastAsia="zh-CN"/>
        </w:rPr>
        <w:t>4</w:t>
      </w:r>
      <w:r>
        <w:rPr>
          <w:rFonts w:hint="eastAsia" w:ascii="Times New Roman" w:hAnsi="Times New Roman" w:eastAsia="仿宋_GB2312"/>
          <w:lang w:val="en-US" w:eastAsia="en-US"/>
        </w:rPr>
        <w:t>）评分结束后，去掉7名专家评分中的1个最高分和1个最低分，剩余得分取平均值（精确至小数点后两位）作为半决赛最终得分</w:t>
      </w:r>
      <w:r>
        <w:rPr>
          <w:rFonts w:hint="eastAsia" w:ascii="Times New Roman" w:hAnsi="Times New Roman" w:eastAsia="仿宋_GB2312"/>
          <w:lang w:val="en-US" w:eastAsia="zh-CN"/>
        </w:rPr>
        <w:t>。</w:t>
      </w:r>
    </w:p>
    <w:p w14:paraId="66253CFA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（三）决赛阶段</w:t>
      </w:r>
    </w:p>
    <w:p w14:paraId="3281BFC6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1. 时间：</w:t>
      </w:r>
      <w:r>
        <w:rPr>
          <w:rFonts w:hint="eastAsia" w:ascii="Times New Roman" w:hAnsi="Times New Roman" w:eastAsia="仿宋_GB2312"/>
          <w:lang w:val="en-US" w:eastAsia="zh-CN"/>
        </w:rPr>
        <w:t>2026年11月中下旬</w:t>
      </w:r>
    </w:p>
    <w:p w14:paraId="60E8999B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2. 地点：</w:t>
      </w:r>
      <w:r>
        <w:rPr>
          <w:rFonts w:hint="eastAsia" w:ascii="Times New Roman" w:hAnsi="Times New Roman" w:eastAsia="仿宋_GB2312"/>
          <w:lang w:val="en-US" w:eastAsia="zh-CN"/>
        </w:rPr>
        <w:t>待定</w:t>
      </w:r>
    </w:p>
    <w:p w14:paraId="03D5EAAC">
      <w:pPr>
        <w:bidi w:val="0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3. 参赛对象：通过半决赛的参赛技术经理人（团队）</w:t>
      </w:r>
    </w:p>
    <w:p w14:paraId="73E0B516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zh-CN"/>
        </w:rPr>
        <w:t>4</w:t>
      </w:r>
      <w:r>
        <w:rPr>
          <w:rFonts w:hint="eastAsia" w:ascii="Times New Roman" w:hAnsi="Times New Roman" w:eastAsia="仿宋_GB2312"/>
          <w:lang w:val="en-US" w:eastAsia="en-US"/>
        </w:rPr>
        <w:t>. 比赛方式：现场比赛采取“三轮积分制”形式，</w:t>
      </w:r>
      <w:r>
        <w:rPr>
          <w:rFonts w:hint="eastAsia" w:ascii="Times New Roman" w:hAnsi="Times New Roman" w:eastAsia="仿宋_GB2312"/>
          <w:lang w:val="en-US" w:eastAsia="zh-CN"/>
        </w:rPr>
        <w:t>评审</w:t>
      </w:r>
      <w:r>
        <w:rPr>
          <w:rFonts w:hint="eastAsia" w:ascii="Times New Roman" w:hAnsi="Times New Roman" w:eastAsia="仿宋_GB2312"/>
          <w:lang w:val="en-US" w:eastAsia="en-US"/>
        </w:rPr>
        <w:t>现场打分，当场公布成绩。15支队伍逐轮晋级，决出名次。</w:t>
      </w:r>
    </w:p>
    <w:p w14:paraId="638DE678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第一轮</w:t>
      </w:r>
      <w:r>
        <w:rPr>
          <w:rFonts w:hint="eastAsia" w:ascii="Times New Roman" w:hAnsi="Times New Roman" w:eastAsia="仿宋_GB2312"/>
          <w:lang w:val="en-US" w:eastAsia="zh-CN"/>
        </w:rPr>
        <w:t>：</w:t>
      </w:r>
      <w:r>
        <w:rPr>
          <w:rFonts w:hint="eastAsia" w:ascii="Times New Roman" w:hAnsi="Times New Roman" w:eastAsia="仿宋_GB2312"/>
          <w:lang w:val="en-US" w:eastAsia="en-US"/>
        </w:rPr>
        <w:t>案例路演</w:t>
      </w:r>
      <w:r>
        <w:rPr>
          <w:rFonts w:hint="eastAsia" w:ascii="Times New Roman" w:hAnsi="Times New Roman" w:eastAsia="仿宋_GB2312"/>
          <w:lang w:val="en-US" w:eastAsia="zh-CN"/>
        </w:rPr>
        <w:t>（</w:t>
      </w:r>
      <w:r>
        <w:rPr>
          <w:rFonts w:hint="eastAsia" w:ascii="Times New Roman" w:hAnsi="Times New Roman" w:eastAsia="仿宋_GB2312"/>
          <w:lang w:val="en-US" w:eastAsia="en-US"/>
        </w:rPr>
        <w:t>满分50分</w:t>
      </w:r>
      <w:r>
        <w:rPr>
          <w:rFonts w:hint="eastAsia" w:ascii="Times New Roman" w:hAnsi="Times New Roman" w:eastAsia="仿宋_GB2312"/>
          <w:lang w:val="en-US" w:eastAsia="zh-CN"/>
        </w:rPr>
        <w:t>）</w:t>
      </w:r>
      <w:r>
        <w:rPr>
          <w:rFonts w:hint="eastAsia" w:ascii="Times New Roman" w:hAnsi="Times New Roman" w:eastAsia="仿宋_GB2312"/>
          <w:lang w:val="en-US" w:eastAsia="en-US"/>
        </w:rPr>
        <w:t>。1</w:t>
      </w:r>
      <w:r>
        <w:rPr>
          <w:rFonts w:hint="eastAsia" w:ascii="Times New Roman" w:hAnsi="Times New Roman" w:eastAsia="仿宋_GB2312"/>
          <w:lang w:val="en-US" w:eastAsia="zh-CN"/>
        </w:rPr>
        <w:t>5</w:t>
      </w:r>
      <w:r>
        <w:rPr>
          <w:rFonts w:hint="eastAsia" w:ascii="Times New Roman" w:hAnsi="Times New Roman" w:eastAsia="仿宋_GB2312"/>
          <w:lang w:val="en-US" w:eastAsia="en-US"/>
        </w:rPr>
        <w:t>支队伍按抽签顺序上台进行5分钟案例路演，展示其主导完成的科技成果转化典型案例。由专业</w:t>
      </w:r>
      <w:r>
        <w:rPr>
          <w:rFonts w:hint="eastAsia" w:ascii="Times New Roman" w:hAnsi="Times New Roman" w:eastAsia="仿宋_GB2312"/>
          <w:lang w:val="en-US" w:eastAsia="zh-CN"/>
        </w:rPr>
        <w:t>评审</w:t>
      </w:r>
      <w:r>
        <w:rPr>
          <w:rFonts w:hint="eastAsia" w:ascii="Times New Roman" w:hAnsi="Times New Roman" w:eastAsia="仿宋_GB2312"/>
          <w:lang w:val="en-US" w:eastAsia="en-US"/>
        </w:rPr>
        <w:t>依次进行3分钟提问、点评，并进行打分</w:t>
      </w:r>
      <w:r>
        <w:rPr>
          <w:rFonts w:hint="eastAsia" w:ascii="Times New Roman" w:hAnsi="Times New Roman" w:eastAsia="仿宋_GB2312"/>
          <w:lang w:val="en-US" w:eastAsia="zh-CN"/>
        </w:rPr>
        <w:t>（</w:t>
      </w:r>
      <w:r>
        <w:rPr>
          <w:rFonts w:hint="eastAsia" w:ascii="Times New Roman" w:hAnsi="Times New Roman" w:eastAsia="仿宋_GB2312"/>
          <w:lang w:val="en-US" w:eastAsia="en-US"/>
        </w:rPr>
        <w:t>百分制</w:t>
      </w:r>
      <w:r>
        <w:rPr>
          <w:rFonts w:hint="eastAsia" w:ascii="Times New Roman" w:hAnsi="Times New Roman" w:eastAsia="仿宋_GB2312"/>
          <w:lang w:val="en-US" w:eastAsia="zh-CN"/>
        </w:rPr>
        <w:t>）</w:t>
      </w:r>
      <w:r>
        <w:rPr>
          <w:rFonts w:hint="eastAsia" w:ascii="Times New Roman" w:hAnsi="Times New Roman" w:eastAsia="仿宋_GB2312"/>
          <w:lang w:val="en-US" w:eastAsia="en-US"/>
        </w:rPr>
        <w:t>，去掉一个最高分、一个最低分，其余得分取平均分作为本轮最终得分</w:t>
      </w:r>
      <w:r>
        <w:rPr>
          <w:rFonts w:hint="eastAsia" w:ascii="Times New Roman" w:hAnsi="Times New Roman" w:eastAsia="仿宋_GB2312"/>
          <w:lang w:val="en-US" w:eastAsia="zh-CN"/>
        </w:rPr>
        <w:t>，本轮得分前9名进入下一环节。</w:t>
      </w:r>
    </w:p>
    <w:p w14:paraId="56B60290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第二轮：知识竞答。必答题共10题，每题作答限时1分钟，答对得10分，答错不扣分</w:t>
      </w:r>
      <w:r>
        <w:rPr>
          <w:rFonts w:hint="eastAsia" w:ascii="Times New Roman" w:hAnsi="Times New Roman" w:eastAsia="仿宋_GB2312"/>
          <w:lang w:val="en-US" w:eastAsia="zh-CN"/>
        </w:rPr>
        <w:t>；</w:t>
      </w:r>
      <w:r>
        <w:rPr>
          <w:rFonts w:hint="eastAsia" w:ascii="Times New Roman" w:hAnsi="Times New Roman" w:eastAsia="仿宋_GB2312"/>
          <w:lang w:val="en-US" w:eastAsia="en-US"/>
        </w:rPr>
        <w:t>抢答题共10题</w:t>
      </w:r>
      <w:r>
        <w:rPr>
          <w:rFonts w:hint="eastAsia" w:ascii="Times New Roman" w:hAnsi="Times New Roman" w:eastAsia="仿宋_GB2312"/>
          <w:lang w:val="en-US" w:eastAsia="zh-CN"/>
        </w:rPr>
        <w:t>，抢答成功后20秒内完成作答</w:t>
      </w:r>
      <w:r>
        <w:rPr>
          <w:rFonts w:hint="eastAsia" w:ascii="Times New Roman" w:hAnsi="Times New Roman" w:eastAsia="仿宋_GB2312"/>
          <w:lang w:val="en-US" w:eastAsia="en-US"/>
        </w:rPr>
        <w:t>，答对得5分，答错扣5分。两轮知识竞答总得分作为本轮最终得分。按第一轮、第二轮成绩折算为百分制后加权合计（权重各30%），总分前3名进入下一环节</w:t>
      </w:r>
      <w:r>
        <w:rPr>
          <w:rFonts w:hint="eastAsia" w:ascii="Times New Roman" w:hAnsi="Times New Roman" w:eastAsia="仿宋_GB2312"/>
          <w:lang w:val="en-US" w:eastAsia="zh-CN"/>
        </w:rPr>
        <w:t>。</w:t>
      </w:r>
    </w:p>
    <w:p w14:paraId="2A0CCE47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第三轮：情景演绎（满分</w:t>
      </w:r>
      <w:r>
        <w:rPr>
          <w:rFonts w:hint="eastAsia" w:ascii="Times New Roman" w:hAnsi="Times New Roman" w:eastAsia="仿宋_GB2312"/>
          <w:lang w:val="en-US" w:eastAsia="zh-CN"/>
        </w:rPr>
        <w:t>5</w:t>
      </w:r>
      <w:r>
        <w:rPr>
          <w:rFonts w:hint="eastAsia" w:ascii="Times New Roman" w:hAnsi="Times New Roman" w:eastAsia="仿宋_GB2312"/>
          <w:lang w:val="en-US" w:eastAsia="en-US"/>
        </w:rPr>
        <w:t>0分）。聚焦技术转移转化实践中的典型场景设置情景题。选手按前两轮的成绩排名依次选题（不可重复选题），在规定时间内完成思考与答题陈述，由专业</w:t>
      </w:r>
      <w:r>
        <w:rPr>
          <w:rFonts w:hint="eastAsia" w:ascii="Times New Roman" w:hAnsi="Times New Roman" w:eastAsia="仿宋_GB2312"/>
          <w:lang w:val="en-US" w:eastAsia="zh-CN"/>
        </w:rPr>
        <w:t>评审</w:t>
      </w:r>
      <w:r>
        <w:rPr>
          <w:rFonts w:hint="eastAsia" w:ascii="Times New Roman" w:hAnsi="Times New Roman" w:eastAsia="仿宋_GB2312"/>
          <w:lang w:val="en-US" w:eastAsia="en-US"/>
        </w:rPr>
        <w:t>打分评定。</w:t>
      </w:r>
    </w:p>
    <w:p w14:paraId="6108CD19">
      <w:pPr>
        <w:bidi w:val="0"/>
        <w:rPr>
          <w:rFonts w:hint="eastAsia" w:ascii="Times New Roman" w:hAnsi="Times New Roman" w:eastAsia="仿宋_GB2312"/>
          <w:lang w:val="en-US" w:eastAsia="en-US"/>
        </w:rPr>
      </w:pPr>
      <w:r>
        <w:rPr>
          <w:rFonts w:hint="eastAsia" w:ascii="Times New Roman" w:hAnsi="Times New Roman" w:eastAsia="仿宋_GB2312"/>
          <w:lang w:val="en-US" w:eastAsia="en-US"/>
        </w:rPr>
        <w:t>评分规则：各轮成绩均折算为百分制，按第一轮30%、第二轮30%、第三轮40%加权计算总成绩，按总成绩排名：第1名一等奖，第2名、第3名二等奖，第4至第9名三等奖，第10至第15名优胜奖。</w:t>
      </w:r>
    </w:p>
    <w:p w14:paraId="68C6CF94">
      <w:pPr>
        <w:pStyle w:val="3"/>
        <w:bidi w:val="0"/>
        <w:rPr>
          <w:rFonts w:hint="eastAsia" w:ascii="Times New Roman" w:hAnsi="Times New Roman"/>
          <w:lang w:eastAsia="en-US"/>
        </w:rPr>
      </w:pPr>
      <w:r>
        <w:rPr>
          <w:rFonts w:hint="eastAsia" w:ascii="Times New Roman" w:hAnsi="Times New Roman"/>
          <w:lang w:eastAsia="en-US"/>
        </w:rPr>
        <w:t>奖项设置</w:t>
      </w:r>
    </w:p>
    <w:p w14:paraId="5E15FCBF">
      <w:pPr>
        <w:bidi w:val="0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大赛设置一等奖、二等奖、三等奖及优</w:t>
      </w:r>
      <w:r>
        <w:rPr>
          <w:rFonts w:hint="eastAsia" w:ascii="Times New Roman" w:hAnsi="Times New Roman" w:eastAsia="仿宋_GB2312"/>
          <w:lang w:val="en-US" w:eastAsia="zh-CN"/>
        </w:rPr>
        <w:t>胜</w:t>
      </w:r>
      <w:r>
        <w:rPr>
          <w:rFonts w:hint="eastAsia" w:ascii="Times New Roman" w:hAnsi="Times New Roman" w:eastAsia="仿宋_GB2312"/>
          <w:lang w:val="en-US" w:eastAsia="en-US"/>
        </w:rPr>
        <w:t>奖，</w:t>
      </w:r>
      <w:r>
        <w:rPr>
          <w:rFonts w:hint="eastAsia" w:ascii="Times New Roman" w:hAnsi="Times New Roman" w:eastAsia="仿宋_GB2312"/>
          <w:lang w:val="en-US" w:eastAsia="zh-CN"/>
        </w:rPr>
        <w:t>具体</w:t>
      </w:r>
      <w:r>
        <w:rPr>
          <w:rFonts w:hint="eastAsia" w:ascii="Times New Roman" w:hAnsi="Times New Roman" w:eastAsia="仿宋_GB2312"/>
          <w:lang w:val="en-US" w:eastAsia="en-US"/>
        </w:rPr>
        <w:t>奖励标准另行通知</w:t>
      </w:r>
      <w:r>
        <w:rPr>
          <w:rFonts w:hint="eastAsia" w:ascii="Times New Roman" w:hAnsi="Times New Roman" w:eastAsia="仿宋_GB2312"/>
          <w:lang w:val="en-US" w:eastAsia="zh-CN"/>
        </w:rPr>
        <w:t>。</w:t>
      </w:r>
    </w:p>
    <w:p w14:paraId="49C8E33F">
      <w:pPr>
        <w:pStyle w:val="3"/>
        <w:bidi w:val="0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宣传推广</w:t>
      </w:r>
    </w:p>
    <w:p w14:paraId="3DE98BEE">
      <w:pPr>
        <w:widowControl/>
        <w:bidi w:val="0"/>
        <w:ind w:firstLine="883"/>
        <w:rPr>
          <w:rFonts w:hint="default" w:ascii="Times New Roman" w:hAnsi="Times New Roman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仿宋_GB2312"/>
          <w:lang w:val="en-US" w:eastAsia="zh-CN"/>
        </w:rPr>
        <w:t>拟邀请红网、湖南日报、湖南经视等媒体对赛事进行宣传报道，扩大赛事影响力和覆盖面。</w:t>
      </w:r>
    </w:p>
    <w:p w14:paraId="095A4C8E">
      <w:pPr>
        <w:pStyle w:val="3"/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其他说明事项</w:t>
      </w:r>
    </w:p>
    <w:p w14:paraId="095E2B0B">
      <w:pPr>
        <w:widowControl/>
        <w:bidi w:val="0"/>
        <w:ind w:firstLine="883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（一）</w:t>
      </w:r>
      <w:r>
        <w:rPr>
          <w:rFonts w:hint="default" w:ascii="Times New Roman" w:hAnsi="Times New Roman" w:eastAsia="仿宋_GB2312"/>
          <w:lang w:val="en-US" w:eastAsia="en-US"/>
        </w:rPr>
        <w:t>大赛组委会成立专家辅导组，对入选决赛和</w:t>
      </w:r>
      <w:r>
        <w:rPr>
          <w:rFonts w:hint="default" w:ascii="Times New Roman" w:hAnsi="Times New Roman" w:eastAsia="仿宋_GB2312"/>
          <w:lang w:val="en-US" w:eastAsia="zh-CN"/>
        </w:rPr>
        <w:t>中部六省技术经理人</w:t>
      </w:r>
      <w:r>
        <w:rPr>
          <w:rFonts w:hint="eastAsia" w:ascii="Times New Roman" w:hAnsi="Times New Roman" w:eastAsia="仿宋_GB2312"/>
          <w:lang w:val="en-US" w:eastAsia="zh-CN"/>
        </w:rPr>
        <w:t>大</w:t>
      </w:r>
      <w:r>
        <w:rPr>
          <w:rFonts w:hint="default" w:ascii="Times New Roman" w:hAnsi="Times New Roman" w:eastAsia="仿宋_GB2312"/>
          <w:lang w:val="en-US" w:eastAsia="zh-CN"/>
        </w:rPr>
        <w:t>赛</w:t>
      </w:r>
      <w:r>
        <w:rPr>
          <w:rFonts w:hint="eastAsia" w:ascii="Times New Roman" w:hAnsi="Times New Roman" w:eastAsia="仿宋_GB2312"/>
          <w:lang w:val="en-US" w:eastAsia="zh-CN"/>
        </w:rPr>
        <w:t>的</w:t>
      </w:r>
      <w:r>
        <w:rPr>
          <w:rFonts w:hint="default" w:ascii="Times New Roman" w:hAnsi="Times New Roman" w:eastAsia="仿宋_GB2312"/>
          <w:lang w:val="en-US" w:eastAsia="en-US"/>
        </w:rPr>
        <w:t>技术经理人（团队）进行专题辅导</w:t>
      </w:r>
      <w:r>
        <w:rPr>
          <w:rFonts w:hint="eastAsia" w:ascii="Times New Roman" w:hAnsi="Times New Roman" w:eastAsia="仿宋_GB2312"/>
          <w:lang w:val="en-US" w:eastAsia="zh-CN"/>
        </w:rPr>
        <w:t>。</w:t>
      </w:r>
    </w:p>
    <w:p w14:paraId="49F29C20">
      <w:pPr>
        <w:widowControl/>
        <w:bidi w:val="0"/>
        <w:ind w:firstLine="883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（二）大赛组委会对参赛项目享有推介、展示、出版（含复制、发行）及宣传等权利；未经授权，任何单位或个人不得对参赛作品进行再设计、生产、销售、宣传、出版、展览等。</w:t>
      </w:r>
    </w:p>
    <w:p w14:paraId="44C62388">
      <w:pPr>
        <w:widowControl/>
        <w:bidi w:val="0"/>
        <w:ind w:firstLine="883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（三）大赛组委会有权在相关活动中使用参赛作品资料，以非商业目的邀请相关机构按参赛作品所述内容进行交流展示；入围参赛者有义务提供相应技术支持。</w:t>
      </w:r>
    </w:p>
    <w:p w14:paraId="5A5433FF">
      <w:pPr>
        <w:widowControl/>
        <w:bidi w:val="0"/>
        <w:ind w:firstLine="883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（四）大赛组委会有权遵循公平公正、科学合理原则，根据赛事组织情况及参赛作品情况，对赛制设置、评审标准进行适当调整。</w:t>
      </w:r>
    </w:p>
    <w:p w14:paraId="24EAB6A2">
      <w:pPr>
        <w:widowControl/>
        <w:bidi w:val="0"/>
        <w:ind w:firstLine="883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（五）大赛设监督专员全程监督评审流程，评审全程录像备查；评审专家签订诚信承诺书并严格履职。半决赛线上评分全程录屏，决赛现场设纪检监督席和计分席。</w:t>
      </w:r>
    </w:p>
    <w:p w14:paraId="06637AA0">
      <w:pPr>
        <w:widowControl/>
        <w:bidi w:val="0"/>
        <w:ind w:firstLine="883"/>
        <w:rPr>
          <w:rFonts w:hint="eastAsia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（六）本方案由大赛组委会负责解释，未尽事宜由组委会商议决定。</w:t>
      </w:r>
    </w:p>
    <w:p w14:paraId="26580AD6">
      <w:pPr>
        <w:pStyle w:val="3"/>
        <w:bidi w:val="0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联系方式</w:t>
      </w:r>
    </w:p>
    <w:p w14:paraId="269B5F89">
      <w:pPr>
        <w:widowControl/>
        <w:bidi w:val="0"/>
        <w:ind w:firstLine="883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en-US"/>
        </w:rPr>
        <w:t>联系人：湖南省技术产权交易所</w:t>
      </w:r>
      <w:r>
        <w:rPr>
          <w:rFonts w:hint="eastAsia" w:ascii="Times New Roman" w:hAnsi="Times New Roman" w:eastAsia="仿宋_GB2312"/>
          <w:lang w:val="en-US" w:eastAsia="zh-CN"/>
        </w:rPr>
        <w:t xml:space="preserve"> 技术市场部 唐瑶</w:t>
      </w:r>
    </w:p>
    <w:p w14:paraId="1BE54D9B">
      <w:pPr>
        <w:widowControl/>
        <w:bidi w:val="0"/>
        <w:ind w:firstLine="883"/>
        <w:rPr>
          <w:rFonts w:hint="default" w:ascii="Times New Roman" w:hAnsi="Times New Roman" w:eastAsia="仿宋_GB2312"/>
          <w:lang w:val="en-US" w:eastAsia="zh-CN"/>
        </w:rPr>
      </w:pPr>
      <w:r>
        <w:rPr>
          <w:rFonts w:hint="eastAsia" w:ascii="Times New Roman" w:hAnsi="Times New Roman" w:eastAsia="仿宋_GB2312"/>
          <w:lang w:val="en-US" w:eastAsia="zh-CN"/>
        </w:rPr>
        <w:t>联系电话：18107399965</w:t>
      </w:r>
    </w:p>
    <w:p w14:paraId="1136237F">
      <w:pPr>
        <w:widowControl/>
        <w:bidi w:val="0"/>
        <w:ind w:firstLine="883"/>
        <w:rPr>
          <w:rFonts w:hint="eastAsia" w:ascii="Times New Roman" w:hAnsi="Times New Roman" w:eastAsia="黑体" w:cs="Times New Roman"/>
          <w:color w:val="000000"/>
          <w:spacing w:val="-6"/>
          <w:kern w:val="2"/>
          <w:sz w:val="32"/>
          <w:szCs w:val="32"/>
          <w:lang w:val="en-US" w:eastAsia="zh-CN" w:bidi="ar-SA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numberInDash" w:start="1"/>
          <w:cols w:space="0" w:num="1"/>
          <w:rtlGutter w:val="0"/>
          <w:docGrid w:type="lines" w:linePitch="439" w:charSpace="0"/>
        </w:sectPr>
      </w:pPr>
      <w:r>
        <w:rPr>
          <w:rFonts w:hint="eastAsia" w:ascii="Times New Roman" w:hAnsi="Times New Roman" w:eastAsia="仿宋_GB2312"/>
          <w:lang w:val="en-US" w:eastAsia="en-US"/>
        </w:rPr>
        <w:t>邮箱咨询：hntpe@sina.com</w:t>
      </w:r>
    </w:p>
    <w:p w14:paraId="0C83A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0" w:firstLineChars="0"/>
        <w:jc w:val="both"/>
        <w:textAlignment w:val="auto"/>
        <w:rPr>
          <w:rFonts w:hint="default" w:ascii="Times New Roman" w:hAnsi="Times New Roman"/>
          <w:lang w:val="en-US" w:eastAsia="zh-CN"/>
        </w:rPr>
      </w:pPr>
      <w:bookmarkStart w:id="0" w:name="_GoBack"/>
      <w:bookmarkEnd w:id="0"/>
    </w:p>
    <w:sectPr>
      <w:footerReference r:id="rId6" w:type="default"/>
      <w:pgSz w:w="11906" w:h="16838"/>
      <w:pgMar w:top="2098" w:right="1474" w:bottom="1984" w:left="1587" w:header="851" w:footer="992" w:gutter="0"/>
      <w:pgNumType w:fmt="numberInDash" w:start="1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6D0CB1-37B0-4468-97BB-4B47F3987A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A1D0988-76C8-4334-997B-F8DF04C1242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5080F0F-78C4-4638-BA58-07B8374A664F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85B37">
    <w:pPr>
      <w:pStyle w:val="7"/>
      <w:tabs>
        <w:tab w:val="left" w:pos="7279"/>
        <w:tab w:val="clear" w:pos="4153"/>
      </w:tabs>
      <w:jc w:val="left"/>
      <w:rPr>
        <w:rFonts w:hint="eastAsia" w:eastAsia="方正仿宋_GB2312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92F5D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92F5D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277D0">
    <w:pPr>
      <w:pStyle w:val="7"/>
      <w:tabs>
        <w:tab w:val="left" w:pos="7279"/>
        <w:tab w:val="clear" w:pos="4153"/>
      </w:tabs>
      <w:jc w:val="left"/>
      <w:rPr>
        <w:rFonts w:hint="eastAsia" w:eastAsia="方正仿宋_GB2312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95EEDE"/>
    <w:multiLevelType w:val="singleLevel"/>
    <w:tmpl w:val="1D95EEDE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52CE9"/>
    <w:rsid w:val="028B67EA"/>
    <w:rsid w:val="04D22952"/>
    <w:rsid w:val="06CA51A4"/>
    <w:rsid w:val="084C2960"/>
    <w:rsid w:val="0B284FA2"/>
    <w:rsid w:val="12743A3B"/>
    <w:rsid w:val="13933CCF"/>
    <w:rsid w:val="141C0887"/>
    <w:rsid w:val="195F59ED"/>
    <w:rsid w:val="1A5829D4"/>
    <w:rsid w:val="1FF26ACE"/>
    <w:rsid w:val="207B1170"/>
    <w:rsid w:val="287104A7"/>
    <w:rsid w:val="29532AFA"/>
    <w:rsid w:val="32D7152C"/>
    <w:rsid w:val="369A2C21"/>
    <w:rsid w:val="36E032BC"/>
    <w:rsid w:val="39672AAF"/>
    <w:rsid w:val="42ED3557"/>
    <w:rsid w:val="4380184D"/>
    <w:rsid w:val="43964BDF"/>
    <w:rsid w:val="4557428B"/>
    <w:rsid w:val="46392974"/>
    <w:rsid w:val="47D8382D"/>
    <w:rsid w:val="4B1A2675"/>
    <w:rsid w:val="4E7E543D"/>
    <w:rsid w:val="4FA31D20"/>
    <w:rsid w:val="4FD57B40"/>
    <w:rsid w:val="55361CDD"/>
    <w:rsid w:val="59653B5C"/>
    <w:rsid w:val="5F085A76"/>
    <w:rsid w:val="647307B7"/>
    <w:rsid w:val="6867784C"/>
    <w:rsid w:val="6E3464D8"/>
    <w:rsid w:val="71852CE9"/>
    <w:rsid w:val="71EB6773"/>
    <w:rsid w:val="756A7D7D"/>
    <w:rsid w:val="75CA25EB"/>
    <w:rsid w:val="7C2B0767"/>
    <w:rsid w:val="7CE47543"/>
    <w:rsid w:val="7DA527B2"/>
    <w:rsid w:val="7F55265E"/>
    <w:rsid w:val="7F6C4F23"/>
    <w:rsid w:val="7FB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0" w:lineRule="exact"/>
      <w:ind w:firstLine="880" w:firstLineChars="200"/>
      <w:jc w:val="both"/>
    </w:pPr>
    <w:rPr>
      <w:rFonts w:eastAsia="方正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7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Lines="0" w:beforeAutospacing="0" w:afterLines="0" w:afterAutospacing="0" w:line="570" w:lineRule="exact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70" w:lineRule="exact"/>
      <w:outlineLvl w:val="3"/>
    </w:pPr>
    <w:rPr>
      <w:rFonts w:ascii="Times New Roman" w:hAnsi="Times New Roman" w:eastAsia="方正仿宋_GB2312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5"/>
    <w:qFormat/>
    <w:uiPriority w:val="0"/>
    <w:pPr>
      <w:adjustRightInd w:val="0"/>
      <w:snapToGrid w:val="0"/>
      <w:spacing w:line="570" w:lineRule="exact"/>
      <w:ind w:firstLine="883" w:firstLineChars="200"/>
      <w:jc w:val="both"/>
    </w:pPr>
    <w:rPr>
      <w:rFonts w:ascii="Times New Roman" w:hAnsi="Times New Roman" w:eastAsia="方正仿宋_GB2312"/>
      <w:color w:val="000000" w:themeColor="text1"/>
      <w:sz w:val="32"/>
      <w:szCs w:val="32"/>
      <w:lang w:eastAsia="en-US"/>
      <w14:textFill>
        <w14:solidFill>
          <w14:schemeClr w14:val="tx1"/>
        </w14:solidFill>
      </w14:textFill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table" w:styleId="11">
    <w:name w:val="Table Grid"/>
    <w:basedOn w:val="10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Body Text Char"/>
    <w:basedOn w:val="12"/>
    <w:link w:val="6"/>
    <w:qFormat/>
    <w:uiPriority w:val="99"/>
    <w:rPr>
      <w:rFonts w:ascii="Times New Roman" w:hAnsi="Times New Roman" w:eastAsia="方正仿宋_GB2312"/>
      <w:color w:val="000000" w:themeColor="text1"/>
      <w:sz w:val="32"/>
      <w:szCs w:val="32"/>
      <w:lang w:eastAsia="en-US"/>
      <w14:textFill>
        <w14:solidFill>
          <w14:schemeClr w14:val="tx1"/>
        </w14:solidFill>
      </w14:textFill>
    </w:rPr>
  </w:style>
  <w:style w:type="character" w:customStyle="1" w:styleId="16">
    <w:name w:val="Heading 2 Char"/>
    <w:link w:val="3"/>
    <w:qFormat/>
    <w:uiPriority w:val="9"/>
    <w:rPr>
      <w:rFonts w:ascii="Times New Roman" w:hAnsi="Times New Roman" w:eastAsia="黑体"/>
    </w:rPr>
  </w:style>
  <w:style w:type="character" w:customStyle="1" w:styleId="17">
    <w:name w:val="Heading 3 Char"/>
    <w:link w:val="4"/>
    <w:qFormat/>
    <w:uiPriority w:val="9"/>
    <w:rPr>
      <w:rFonts w:ascii="Times New Roman" w:hAnsi="Times New Roman" w:eastAsia="楷体"/>
    </w:rPr>
  </w:style>
  <w:style w:type="paragraph" w:customStyle="1" w:styleId="18">
    <w:name w:val="标题5"/>
    <w:basedOn w:val="1"/>
    <w:qFormat/>
    <w:uiPriority w:val="0"/>
    <w:pPr>
      <w:adjustRightInd/>
      <w:snapToGrid/>
      <w:ind w:firstLine="640"/>
      <w:outlineLvl w:val="9"/>
    </w:pPr>
    <w:rPr>
      <w:rFonts w:ascii="Times New Roman" w:hAnsi="Times New Roman" w:cs="Times New Roman"/>
      <w:szCs w:val="32"/>
    </w:rPr>
  </w:style>
  <w:style w:type="character" w:customStyle="1" w:styleId="19">
    <w:name w:val="font21"/>
    <w:basedOn w:val="12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2863</Words>
  <Characters>3019</Characters>
  <Lines>0</Lines>
  <Paragraphs>0</Paragraphs>
  <TotalTime>29</TotalTime>
  <ScaleCrop>false</ScaleCrop>
  <LinksUpToDate>false</LinksUpToDate>
  <CharactersWithSpaces>3067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2026-09-29T04:58:00Z</dcterms:created>
  <dc:creator>Tangyaosoo-</dc:creator>
  <cp:lastModifiedBy>娟</cp:lastModifiedBy>
  <cp:lastPrinted>2026-10-20T08:37:00Z</cp:lastPrinted>
  <dcterms:modified xsi:type="dcterms:W3CDTF">2026-10-23T07:17:54Z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D16AB60649B64E27B675B1CCEAD536E9_13</vt:lpwstr>
  </property>
  <property fmtid="{D5CDD505-2E9C-101B-9397-08002B2CF9AE}" pid="4" name="KSOTemplateDocerSaveRecord">
    <vt:lpwstr>eyJoZGlkIjoiMzkwZGQ0YjYyNGM0ZjRjZDRiM2VlMTZiNjA1ZmVkMTEiLCJ1c2VySWQiOiIxMDYzMDYzMjY3In0=</vt:lpwstr>
  </property>
</Properties>
</file>