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5FBDE">
      <w:pPr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color w:val="000000"/>
          <w:kern w:val="0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kern w:val="0"/>
          <w:szCs w:val="32"/>
          <w:lang w:val="en-US" w:eastAsia="zh-CN"/>
        </w:rPr>
        <w:t>附件1</w:t>
      </w:r>
    </w:p>
    <w:p w14:paraId="45EC0937">
      <w:pPr>
        <w:keepNext/>
        <w:keepLines/>
        <w:bidi w:val="0"/>
        <w:adjustRightInd w:val="0"/>
        <w:snapToGrid w:val="0"/>
        <w:spacing w:after="0" w:line="570" w:lineRule="exact"/>
        <w:ind w:left="0" w:leftChars="0" w:firstLine="0" w:firstLineChars="0"/>
        <w:jc w:val="both"/>
        <w:outlineLvl w:val="0"/>
        <w:rPr>
          <w:rFonts w:ascii="Times New Roman" w:hAnsi="Times New Roman" w:eastAsia="方正小标宋简体" w:cs="Times New Roman"/>
          <w:b w:val="0"/>
          <w:bCs w:val="0"/>
          <w:color w:val="000000"/>
          <w:sz w:val="44"/>
          <w:szCs w:val="28"/>
          <w:lang w:val="en-US" w:eastAsia="en-US" w:bidi="ar-SA"/>
        </w:rPr>
      </w:pPr>
    </w:p>
    <w:p w14:paraId="42C8DEE4">
      <w:pPr>
        <w:keepNext/>
        <w:keepLines/>
        <w:bidi w:val="0"/>
        <w:adjustRightInd w:val="0"/>
        <w:snapToGrid w:val="0"/>
        <w:spacing w:after="0" w:line="570" w:lineRule="exact"/>
        <w:ind w:left="0" w:leftChars="0" w:firstLine="0" w:firstLineChars="0"/>
        <w:jc w:val="center"/>
        <w:outlineLvl w:val="0"/>
        <w:rPr>
          <w:rFonts w:ascii="Times New Roman" w:hAnsi="Times New Roman" w:eastAsia="方正小标宋简体" w:cs="Times New Roman"/>
          <w:b w:val="0"/>
          <w:bCs w:val="0"/>
          <w:color w:val="000000"/>
          <w:sz w:val="44"/>
          <w:szCs w:val="28"/>
          <w:lang w:val="en-US" w:eastAsia="en-US" w:bidi="ar-SA"/>
        </w:rPr>
      </w:pPr>
      <w:r>
        <w:rPr>
          <w:rFonts w:ascii="Times New Roman" w:hAnsi="Times New Roman" w:eastAsia="方正小标宋简体" w:cs="Times New Roman"/>
          <w:b w:val="0"/>
          <w:bCs w:val="0"/>
          <w:color w:val="000000"/>
          <w:sz w:val="44"/>
          <w:szCs w:val="28"/>
          <w:lang w:val="en-US" w:eastAsia="en-US" w:bidi="ar-SA"/>
        </w:rPr>
        <w:t>湖南省2026年技术经理人大赛活动方案</w:t>
      </w:r>
    </w:p>
    <w:p w14:paraId="3D2397D6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</w:p>
    <w:p w14:paraId="393063D4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深入贯彻党的二十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大和二十届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四中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全会精神，全面落实国家创新驱动发展战略和《湖南省加快高等院校科技成果转化的若干措施》要求，进一步加强我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省技术经理人队伍专业化、职业化建设，搭建高水平技术经理人交流展示与能力提升平台。通过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“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以赛促学、以赛促用、以赛促融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”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机制，切实提升技术经理人在科技成果转化中的专业服务能力，助力中部区域科技创新协同发展，为实现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“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三高四新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”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美好蓝图提供坚实的技术转移人才支撑。</w:t>
      </w:r>
    </w:p>
    <w:p w14:paraId="644D339B">
      <w:pPr>
        <w:pStyle w:val="3"/>
        <w:bidi w:val="0"/>
        <w:rPr>
          <w:lang w:eastAsia="en-US"/>
        </w:rPr>
      </w:pPr>
      <w:r>
        <w:rPr>
          <w:lang w:eastAsia="en-US"/>
        </w:rPr>
        <w:t>大赛主题</w:t>
      </w:r>
    </w:p>
    <w:p w14:paraId="51F4AEBD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技转潇湘·创享未来</w:t>
      </w:r>
    </w:p>
    <w:p w14:paraId="05BB9148">
      <w:pPr>
        <w:pStyle w:val="3"/>
        <w:bidi w:val="0"/>
        <w:rPr>
          <w:lang w:eastAsia="en-US"/>
        </w:rPr>
      </w:pPr>
      <w:r>
        <w:rPr>
          <w:lang w:eastAsia="en-US"/>
        </w:rPr>
        <w:t>大赛组织</w:t>
      </w:r>
    </w:p>
    <w:p w14:paraId="6D791CB4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（一）指导单位</w:t>
      </w:r>
    </w:p>
    <w:p w14:paraId="15D7AA9F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湖南省科学技术厅</w:t>
      </w:r>
    </w:p>
    <w:p w14:paraId="7DBF2483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（二）主办单位</w:t>
      </w:r>
    </w:p>
    <w:p w14:paraId="2C8C074E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湖南省科学技术事务中心</w:t>
      </w:r>
    </w:p>
    <w:p w14:paraId="3EBE9FEB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三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承办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单位</w:t>
      </w:r>
    </w:p>
    <w:p w14:paraId="10B47A11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湖南省技术产权交易中心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、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湖南省技术产权交易所有限责任公司</w:t>
      </w:r>
    </w:p>
    <w:p w14:paraId="1504874D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四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协办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单位</w:t>
      </w:r>
    </w:p>
    <w:p w14:paraId="06427320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  <w:t>长沙银行股份有限公司</w:t>
      </w:r>
    </w:p>
    <w:p w14:paraId="23D1641E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五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）组织委员会</w:t>
      </w:r>
    </w:p>
    <w:p w14:paraId="2BDC7D43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大赛设组织委员会，由指导单位、主办单位、承办单位相关负责人组成，负责大赛各项工作的统筹协调和组织实施。组委会下设办公室，设在湖南省技术产权交易所有限责任公司，负责大赛日常事务。</w:t>
      </w:r>
    </w:p>
    <w:p w14:paraId="22722C09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六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）专家评审委员会</w:t>
      </w:r>
    </w:p>
    <w:p w14:paraId="3F166006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从湖南省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科技厅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专家库中随机抽取7名行业专家组成评审委员会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评审专家须签订诚信承诺书，严格履行评审职责。</w:t>
      </w:r>
    </w:p>
    <w:p w14:paraId="23D1CB65">
      <w:pPr>
        <w:pStyle w:val="3"/>
        <w:bidi w:val="0"/>
        <w:rPr>
          <w:lang w:eastAsia="en-US"/>
        </w:rPr>
      </w:pPr>
      <w:r>
        <w:rPr>
          <w:lang w:eastAsia="en-US"/>
        </w:rPr>
        <w:t>参赛要求</w:t>
      </w:r>
    </w:p>
    <w:p w14:paraId="5A9F5248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各市州须组织推荐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不少于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3支队伍参赛。每支参赛队伍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由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不超过3名技术经理人组成。</w:t>
      </w:r>
    </w:p>
    <w:p w14:paraId="3F8D92AE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（一）参赛对象</w:t>
      </w:r>
    </w:p>
    <w:p w14:paraId="2FA6E0C4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1. 潇湘科技要素大市场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各分市场及工作站的技术经理人；</w:t>
      </w:r>
    </w:p>
    <w:p w14:paraId="756DCBB0">
      <w:pPr>
        <w:widowControl/>
        <w:bidi w:val="0"/>
        <w:ind w:firstLine="883"/>
        <w:rPr>
          <w:rFonts w:hint="eastAsia" w:ascii="Times New Roman" w:hAnsi="Times New Roman" w:eastAsia="仿宋_GB2312" w:cs="Times New Roman"/>
          <w:color w:val="000000"/>
          <w:kern w:val="0"/>
          <w:szCs w:val="32"/>
          <w:lang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2. 高校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和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科研院所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中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从事科技成果转化的技术经理人或相关人员（团队）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；</w:t>
      </w:r>
    </w:p>
    <w:p w14:paraId="043D51A3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3. 新型研发机构、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技术转移机构、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孵化载体和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中试基地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等单位中从事科技成果转化的技术经理人或相关人员（团队）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</w:p>
    <w:p w14:paraId="74C0F095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 xml:space="preserve">4. 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相关企业中从事科技成果转化的技术经理人或相关人员（团队）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</w:p>
    <w:p w14:paraId="2AD3E8E8">
      <w:pPr>
        <w:widowControl/>
        <w:bidi w:val="0"/>
        <w:ind w:firstLine="883"/>
        <w:rPr>
          <w:rFonts w:hint="eastAsia" w:ascii="Times New Roman" w:hAnsi="Times New Roman" w:eastAsia="仿宋_GB2312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（二）参赛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资格</w:t>
      </w:r>
    </w:p>
    <w:p w14:paraId="141B96A1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1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. 参赛技术经理人（团队）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持有技术经理人证书；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无科研失信记录及行政处罚；参赛项目符合国家法律法规及产业政策，不涉密、不侵权；</w:t>
      </w:r>
    </w:p>
    <w:p w14:paraId="22601684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2. 参赛技术经理人（团队）须主导不少于1项，或参与不少于3项科技成果转化典型案例；</w:t>
      </w:r>
    </w:p>
    <w:p w14:paraId="59342295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3. 参赛汇报及路演内容须为原创，严禁抄袭、剽窃他人成果。</w:t>
      </w:r>
    </w:p>
    <w:p w14:paraId="62E6C672">
      <w:pPr>
        <w:pStyle w:val="3"/>
        <w:bidi w:val="0"/>
        <w:rPr>
          <w:lang w:eastAsia="en-US"/>
        </w:rPr>
      </w:pPr>
      <w:r>
        <w:rPr>
          <w:lang w:eastAsia="en-US"/>
        </w:rPr>
        <w:t>大赛安排</w:t>
      </w:r>
    </w:p>
    <w:p w14:paraId="22B97AC0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大赛分为报名、半决赛、决赛三个阶段，大赛组委会将按照公开、公平、公正原则组织比赛。</w:t>
      </w:r>
    </w:p>
    <w:p w14:paraId="0EE32E13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（一）报名阶段</w:t>
      </w:r>
    </w:p>
    <w:p w14:paraId="50094C0D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1. 时间：2026年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10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10日至16日</w:t>
      </w:r>
    </w:p>
    <w:p w14:paraId="140A08DD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2. 报名方式：</w:t>
      </w:r>
    </w:p>
    <w:p w14:paraId="1B11EE94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各市州科技局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、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湘江新区管委会及有关单位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负责本地区宣传推广，动员优秀技术经理人（团队）报名参赛；确认参赛意向后，组织填写《湖南省2026年技术经理人大赛报名表》，汇总后统一发送至hntpe@sina.com（邮件标题请备注：所在地市州+单位+姓名/团队名称）。</w:t>
      </w:r>
    </w:p>
    <w:p w14:paraId="069284F9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（二）半决赛阶段</w:t>
      </w:r>
    </w:p>
    <w:p w14:paraId="56960F2A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1.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时间：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2026年10月中下旬</w:t>
      </w:r>
    </w:p>
    <w:p w14:paraId="0BE9F478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2. 参赛对象：通过资格审查的参赛技术经理人（团队）</w:t>
      </w:r>
    </w:p>
    <w:p w14:paraId="51D56FFE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3. 比赛方式</w:t>
      </w:r>
    </w:p>
    <w:p w14:paraId="7C70D206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en-US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（1）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参赛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形式：采取线上视频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形式，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参赛技术经理人（团队）以PPT报告形式汇报参赛项目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5分钟）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，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评审专家点评及选手答辩（2分钟）。</w:t>
      </w:r>
    </w:p>
    <w:p w14:paraId="76E6F0C7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（2）PPT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要求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展示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参赛技术经理人（团队）近三年技术转移工作业绩及典型服务案例，围绕案例中的转化思路、服务特色、个人贡献、经济社会效益进行重点阐述。</w:t>
      </w:r>
    </w:p>
    <w:p w14:paraId="05A35CE2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  <w:t>（3）汇报要求：环境无杂音干扰、无旁人误入画面，网络稳定、画面无晃动、音像同步。</w:t>
      </w:r>
    </w:p>
    <w:p w14:paraId="35A40835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4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）半决赛得分排名前15名的参赛队伍进入决赛。</w:t>
      </w:r>
    </w:p>
    <w:p w14:paraId="7B8EF41E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4.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 xml:space="preserve"> 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评审规则：</w:t>
      </w:r>
    </w:p>
    <w:p w14:paraId="243BA77C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1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比赛顺序以抽签方式确定；</w:t>
      </w:r>
    </w:p>
    <w:p w14:paraId="187507F7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2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评审组由7名从湖南省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科技厅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专家库中随机抽取的行业专家组成；</w:t>
      </w:r>
    </w:p>
    <w:p w14:paraId="19382109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3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评分依据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7"/>
        <w:gridCol w:w="860"/>
        <w:gridCol w:w="6584"/>
      </w:tblGrid>
      <w:tr w14:paraId="77EEB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0" w:type="auto"/>
            <w:vAlign w:val="center"/>
          </w:tcPr>
          <w:p w14:paraId="76C953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评审维度</w:t>
            </w:r>
          </w:p>
        </w:tc>
        <w:tc>
          <w:tcPr>
            <w:tcW w:w="860" w:type="dxa"/>
            <w:vAlign w:val="center"/>
          </w:tcPr>
          <w:p w14:paraId="3F5A3D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hint="eastAsia" w:ascii="Times New Roman" w:hAnsi="Times New Roman" w:cs="Times New Roman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分值</w:t>
            </w:r>
          </w:p>
        </w:tc>
        <w:tc>
          <w:tcPr>
            <w:tcW w:w="6584" w:type="dxa"/>
            <w:vAlign w:val="center"/>
          </w:tcPr>
          <w:p w14:paraId="39708F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评审要点</w:t>
            </w:r>
          </w:p>
        </w:tc>
      </w:tr>
      <w:tr w14:paraId="0CFBC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4BDD0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技术经纪工作成效</w:t>
            </w:r>
          </w:p>
        </w:tc>
        <w:tc>
          <w:tcPr>
            <w:tcW w:w="860" w:type="dxa"/>
            <w:vAlign w:val="center"/>
          </w:tcPr>
          <w:p w14:paraId="20996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6584" w:type="dxa"/>
            <w:vAlign w:val="center"/>
          </w:tcPr>
          <w:p w14:paraId="57B407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近三年科技成果转化项目数量、合同金额、转化方式多样性、落地成效；典型案例的完整性和代表性</w:t>
            </w:r>
          </w:p>
        </w:tc>
      </w:tr>
      <w:tr w14:paraId="638A5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6329F9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关键科技服务能力</w:t>
            </w:r>
          </w:p>
        </w:tc>
        <w:tc>
          <w:tcPr>
            <w:tcW w:w="860" w:type="dxa"/>
            <w:vAlign w:val="center"/>
          </w:tcPr>
          <w:p w14:paraId="6F9103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584" w:type="dxa"/>
            <w:vAlign w:val="center"/>
          </w:tcPr>
          <w:p w14:paraId="78EBF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解决知识产权难题、交易定价难题、融资难题的能力；技术评估、市场分析、商务谈判等专业能力</w:t>
            </w:r>
          </w:p>
        </w:tc>
      </w:tr>
      <w:tr w14:paraId="3B571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07C4C1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路演展示及答辩表现</w:t>
            </w:r>
          </w:p>
        </w:tc>
        <w:tc>
          <w:tcPr>
            <w:tcW w:w="860" w:type="dxa"/>
            <w:vAlign w:val="center"/>
          </w:tcPr>
          <w:p w14:paraId="49522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6584" w:type="dxa"/>
            <w:vAlign w:val="center"/>
          </w:tcPr>
          <w:p w14:paraId="6F55F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PPT制作质量、表达逻辑清晰度、现场感染力、答辩准确性与应变能力</w:t>
            </w:r>
          </w:p>
        </w:tc>
      </w:tr>
      <w:tr w14:paraId="01F95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vAlign w:val="center"/>
          </w:tcPr>
          <w:p w14:paraId="395572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创新与示范价值</w:t>
            </w:r>
          </w:p>
        </w:tc>
        <w:tc>
          <w:tcPr>
            <w:tcW w:w="860" w:type="dxa"/>
            <w:vAlign w:val="center"/>
          </w:tcPr>
          <w:p w14:paraId="4A6CF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584" w:type="dxa"/>
            <w:vAlign w:val="center"/>
          </w:tcPr>
          <w:p w14:paraId="368CBC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转化模式创新、服务机制创新、可复制推广性、行业示范效应</w:t>
            </w:r>
          </w:p>
        </w:tc>
      </w:tr>
      <w:tr w14:paraId="7249F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0" w:type="auto"/>
            <w:vAlign w:val="center"/>
          </w:tcPr>
          <w:p w14:paraId="75B1F7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合计</w:t>
            </w:r>
          </w:p>
        </w:tc>
        <w:tc>
          <w:tcPr>
            <w:tcW w:w="860" w:type="dxa"/>
            <w:vAlign w:val="center"/>
          </w:tcPr>
          <w:p w14:paraId="63D836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6584" w:type="dxa"/>
            <w:vAlign w:val="center"/>
          </w:tcPr>
          <w:p w14:paraId="3AB90E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firstLine="0" w:firstLineChars="0"/>
              <w:textAlignment w:val="auto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eastAsia="en-US"/>
              </w:rPr>
              <w:t>—</w:t>
            </w:r>
          </w:p>
        </w:tc>
      </w:tr>
    </w:tbl>
    <w:p w14:paraId="42C448DB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4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）评分结束后，去掉7名专家评分中的1个最高分和1个最低分，剩余得分取平均值（精确至小数点后两位）作为半决赛最终得分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</w:p>
    <w:p w14:paraId="28F154BA">
      <w:pPr>
        <w:widowControl/>
        <w:bidi w:val="0"/>
        <w:ind w:firstLine="883"/>
        <w:rPr>
          <w:rFonts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（三）决赛阶段</w:t>
      </w:r>
    </w:p>
    <w:p w14:paraId="3854CC30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1. 时间：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2026年10月下旬</w:t>
      </w:r>
    </w:p>
    <w:p w14:paraId="1B196AAA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2. 地点：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待定</w:t>
      </w:r>
    </w:p>
    <w:p w14:paraId="7924795D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3. 参赛对象：通过半决赛的参赛技术经理人（团队）</w:t>
      </w:r>
    </w:p>
    <w:p w14:paraId="1B83169E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4</w:t>
      </w: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. 比赛方式：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现场比赛采取“三轮积分制”形式，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评审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现场打分，当场公布成绩。15支队伍逐轮晋级，决出名次。</w:t>
      </w:r>
    </w:p>
    <w:p w14:paraId="72033611">
      <w:pPr>
        <w:widowControl/>
        <w:bidi w:val="0"/>
        <w:ind w:firstLine="883"/>
        <w:rPr>
          <w:rFonts w:hint="eastAsia" w:ascii="Times New Roman" w:hAnsi="Times New Roman" w:eastAsia="仿宋_GB2312" w:cs="Times New Roman"/>
          <w:color w:val="000000"/>
          <w:kern w:val="0"/>
          <w:szCs w:val="32"/>
          <w:lang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第一轮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案例路演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满分50分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。1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5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支队伍按抽签顺序上台进行5分钟案例路演，展示其主导完成的科技成果转化典型案例。由专业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评审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依次进行3分钟提问、点评，并进行打分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百分制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）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，去掉一个最高分、一个最低分，其余得分取平均分作为本轮最终得分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，本轮得分前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9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名进入下一环节。</w:t>
      </w:r>
    </w:p>
    <w:p w14:paraId="4A05C6C5">
      <w:pPr>
        <w:widowControl/>
        <w:bidi w:val="0"/>
        <w:ind w:firstLine="883"/>
        <w:rPr>
          <w:rFonts w:hint="eastAsia" w:ascii="Times New Roman" w:hAnsi="Times New Roman" w:eastAsia="仿宋_GB2312" w:cs="Times New Roman"/>
          <w:color w:val="000000"/>
          <w:kern w:val="0"/>
          <w:szCs w:val="32"/>
          <w:lang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第二轮：知识竞答。必答题共10题，每题作答限时1分钟，答对得10分，答错不扣分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；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抢答题共10题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，抢答成功后20秒内完成作答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，答对得5分，答错扣5分。两轮知识竞答总得分作为本轮最终得分。按第一轮、第二轮成绩折算为百分制后加权合计（权重各30%），总分前3名进入下一环节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</w:p>
    <w:p w14:paraId="438A7309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第三轮：情景演绎（满分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5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0分）。聚焦技术转移转化实践中的典型场景设置情景题。选手按前两轮的成绩排名依次选题（不可重复选题），在规定时间内完成思考与答题陈述，由专业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评审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打分评定。</w:t>
      </w:r>
    </w:p>
    <w:p w14:paraId="5CD274F1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 xml:space="preserve">5. 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en-US"/>
        </w:rPr>
        <w:t>评分规则：各轮成绩均折算为百分制，按第一轮30%、第二轮30%、第三轮40%加权计算总成绩，按总成绩排名：第1名一等奖，第2名、第3名二等奖，第4至第9名三等奖，第10至第15名优胜奖。</w:t>
      </w:r>
    </w:p>
    <w:p w14:paraId="4EF68AF7">
      <w:pPr>
        <w:pStyle w:val="3"/>
        <w:bidi w:val="0"/>
        <w:rPr>
          <w:lang w:eastAsia="en-US"/>
        </w:rPr>
      </w:pPr>
      <w:r>
        <w:rPr>
          <w:lang w:eastAsia="en-US"/>
        </w:rPr>
        <w:t>宣传推广</w:t>
      </w:r>
    </w:p>
    <w:p w14:paraId="4D7644F2">
      <w:pPr>
        <w:widowControl/>
        <w:bidi w:val="0"/>
        <w:ind w:firstLine="883"/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  <w:t>拟邀请红网、湖南日报、湖南经视等媒体对赛事进行宣传报道，扩大赛事影响力和覆盖面。</w:t>
      </w:r>
    </w:p>
    <w:p w14:paraId="12E0C028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其他说明事项</w:t>
      </w:r>
    </w:p>
    <w:p w14:paraId="6DC9891E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（一）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en-US"/>
        </w:rPr>
        <w:t>大赛组委会成立专家辅导组，对入选决赛和</w:t>
      </w:r>
      <w:r>
        <w:rPr>
          <w:rFonts w:ascii="Times New Roman" w:hAnsi="Times New Roman" w:cs="Times New Roman"/>
          <w:color w:val="000000"/>
          <w:kern w:val="0"/>
          <w:szCs w:val="32"/>
          <w:lang w:val="en-US" w:eastAsia="zh-CN"/>
        </w:rPr>
        <w:t>中部六省技术经理人</w:t>
      </w:r>
      <w:r>
        <w:rPr>
          <w:rFonts w:hint="default" w:ascii="Times New Roman" w:hAnsi="Times New Roman" w:cs="Times New Roman"/>
          <w:color w:val="000000"/>
          <w:kern w:val="0"/>
          <w:szCs w:val="32"/>
          <w:lang w:val="en-US" w:eastAsia="zh-CN"/>
        </w:rPr>
        <w:t>总决赛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的</w:t>
      </w:r>
      <w:r>
        <w:rPr>
          <w:rFonts w:hint="default" w:ascii="Times New Roman" w:hAnsi="Times New Roman" w:cs="Times New Roman"/>
          <w:color w:val="000000"/>
          <w:kern w:val="0"/>
          <w:szCs w:val="32"/>
          <w:lang w:eastAsia="en-US"/>
        </w:rPr>
        <w:t>技术经理人（团队）进行专题辅导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eastAsia="zh-CN"/>
        </w:rPr>
        <w:t>。</w:t>
      </w:r>
    </w:p>
    <w:p w14:paraId="59D119AC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（二）大赛组委会对参赛项目享有推介、展示、出版（含复制、发行）及宣传等权利；未经授权，任何单位或个人不得对参赛作品进行再设计、生产、销售、宣传、出版、展览等。</w:t>
      </w:r>
    </w:p>
    <w:p w14:paraId="16AB22F3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（三）大赛组委会有权在相关活动中使用参赛作品资料，以非商业目的邀请相关机构按参赛作品所述内容进行交流展示；入围参赛者有义务提供相应技术支持。</w:t>
      </w:r>
    </w:p>
    <w:p w14:paraId="1C70C5E9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（四）大赛组委会有权遵循公平公正、科学合理原则，根据赛事组织情况及参赛作品情况，对赛制设置、评审标准进行适当调整。</w:t>
      </w:r>
    </w:p>
    <w:p w14:paraId="21F286A8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（五）大赛设监督专员全程监督评审流程，评审全程录像备查；评审专家签订诚信承诺书并严格履职。半决赛线上评分全程录屏，决赛现场设纪检监督席和计分席。</w:t>
      </w:r>
    </w:p>
    <w:p w14:paraId="426DD0D4">
      <w:pPr>
        <w:widowControl/>
        <w:bidi w:val="0"/>
        <w:ind w:firstLine="883"/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（六）本方案由大赛组委会负责解释，未尽事宜由组委会商议决定。</w:t>
      </w:r>
    </w:p>
    <w:p w14:paraId="5D01AC28">
      <w:pPr>
        <w:pStyle w:val="3"/>
        <w:bidi w:val="0"/>
        <w:rPr>
          <w:lang w:eastAsia="en-US"/>
        </w:rPr>
      </w:pPr>
      <w:r>
        <w:rPr>
          <w:lang w:eastAsia="en-US"/>
        </w:rPr>
        <w:t>联系方式</w:t>
      </w:r>
    </w:p>
    <w:p w14:paraId="7E9D4471">
      <w:pPr>
        <w:widowControl/>
        <w:bidi w:val="0"/>
        <w:ind w:firstLine="883"/>
        <w:rPr>
          <w:rFonts w:hint="default" w:ascii="Times New Roman" w:hAnsi="Times New Roman" w:eastAsia="仿宋_GB2312" w:cs="Times New Roman"/>
          <w:color w:val="000000"/>
          <w:kern w:val="0"/>
          <w:szCs w:val="32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联系人：湖南省技术产权交易所</w:t>
      </w: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 xml:space="preserve"> 技术市场部 唐瑶</w:t>
      </w:r>
    </w:p>
    <w:p w14:paraId="7A8DBB89">
      <w:pPr>
        <w:widowControl/>
        <w:bidi w:val="0"/>
        <w:ind w:firstLine="883"/>
        <w:rPr>
          <w:rFonts w:hint="default" w:ascii="Times New Roman" w:hAnsi="Times New Roman" w:eastAsia="仿宋_GB2312" w:cs="Times New Roman"/>
          <w:color w:val="000000"/>
          <w:kern w:val="0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Cs w:val="32"/>
          <w:lang w:val="en-US" w:eastAsia="zh-CN"/>
        </w:rPr>
        <w:t>联系电话：18107399965</w:t>
      </w:r>
    </w:p>
    <w:p w14:paraId="3232FDEB">
      <w:pPr>
        <w:widowControl/>
        <w:bidi w:val="0"/>
        <w:ind w:firstLine="883"/>
        <w:rPr>
          <w:rFonts w:hint="eastAsia" w:ascii="Times New Roman" w:hAnsi="Times New Roman" w:eastAsia="黑体" w:cs="Times New Roman"/>
          <w:color w:val="000000"/>
          <w:spacing w:val="-6"/>
          <w:kern w:val="2"/>
          <w:sz w:val="32"/>
          <w:szCs w:val="32"/>
          <w:lang w:val="en-US" w:eastAsia="zh-CN" w:bidi="ar-SA"/>
        </w:rPr>
        <w:sectPr>
          <w:footerReference r:id="rId5" w:type="default"/>
          <w:pgSz w:w="11906" w:h="16838"/>
          <w:pgMar w:top="2098" w:right="1474" w:bottom="1984" w:left="1587" w:header="851" w:footer="992" w:gutter="0"/>
          <w:pgNumType w:fmt="numberInDash" w:start="1"/>
          <w:cols w:space="0" w:num="1"/>
          <w:rtlGutter w:val="0"/>
          <w:docGrid w:type="lines" w:linePitch="439" w:charSpace="0"/>
        </w:sectPr>
      </w:pPr>
      <w:r>
        <w:rPr>
          <w:rFonts w:ascii="Times New Roman" w:hAnsi="Times New Roman" w:cs="Times New Roman"/>
          <w:color w:val="000000"/>
          <w:kern w:val="0"/>
          <w:szCs w:val="32"/>
          <w:lang w:eastAsia="en-US"/>
        </w:rPr>
        <w:t>邮箱咨询：hntpe@sina.com</w:t>
      </w:r>
      <w:bookmarkStart w:id="0" w:name="_GoBack"/>
      <w:bookmarkEnd w:id="0"/>
    </w:p>
    <w:p w14:paraId="50B5C9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00" w:lineRule="exact"/>
        <w:ind w:firstLine="0" w:firstLineChars="0"/>
        <w:jc w:val="both"/>
        <w:textAlignment w:val="auto"/>
        <w:rPr>
          <w:rFonts w:hint="default" w:ascii="Times New Roman" w:hAnsi="Times New Roman"/>
          <w:lang w:val="en-US" w:eastAsia="zh-CN"/>
        </w:rPr>
      </w:pPr>
    </w:p>
    <w:sectPr>
      <w:footerReference r:id="rId6" w:type="default"/>
      <w:pgSz w:w="11906" w:h="16838"/>
      <w:pgMar w:top="2098" w:right="1474" w:bottom="1984" w:left="1587" w:header="851" w:footer="992" w:gutter="0"/>
      <w:pgNumType w:fmt="numberInDash" w:start="1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D3945">
    <w:pPr>
      <w:pStyle w:val="7"/>
      <w:tabs>
        <w:tab w:val="left" w:pos="7279"/>
        <w:tab w:val="clear" w:pos="4153"/>
      </w:tabs>
      <w:jc w:val="left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5BA5B6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5BA5B6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967E91">
    <w:pPr>
      <w:pStyle w:val="7"/>
      <w:tabs>
        <w:tab w:val="left" w:pos="7279"/>
        <w:tab w:val="clear" w:pos="4153"/>
      </w:tabs>
      <w:jc w:val="left"/>
      <w:rPr>
        <w:rFonts w:hint="eastAsia" w:eastAsia="仿宋_GB2312"/>
        <w:lang w:eastAsia="zh-CN"/>
      </w:rPr>
    </w:pP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95EEDE"/>
    <w:multiLevelType w:val="singleLevel"/>
    <w:tmpl w:val="1D95EEDE"/>
    <w:lvl w:ilvl="0" w:tentative="0">
      <w:start w:val="1"/>
      <w:numFmt w:val="chineseCounting"/>
      <w:pStyle w:val="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852CE9"/>
    <w:rsid w:val="028B67EA"/>
    <w:rsid w:val="04D22952"/>
    <w:rsid w:val="12743A3B"/>
    <w:rsid w:val="13933CCF"/>
    <w:rsid w:val="141C0887"/>
    <w:rsid w:val="195F59ED"/>
    <w:rsid w:val="1FF26ACE"/>
    <w:rsid w:val="287104A7"/>
    <w:rsid w:val="29532AFA"/>
    <w:rsid w:val="32D7152C"/>
    <w:rsid w:val="369A2C21"/>
    <w:rsid w:val="36E032BC"/>
    <w:rsid w:val="43964BDF"/>
    <w:rsid w:val="4557428B"/>
    <w:rsid w:val="4B1A2675"/>
    <w:rsid w:val="4FA31D20"/>
    <w:rsid w:val="55361CDD"/>
    <w:rsid w:val="5F085A76"/>
    <w:rsid w:val="647307B7"/>
    <w:rsid w:val="6867784C"/>
    <w:rsid w:val="6AEBE2BD"/>
    <w:rsid w:val="6E3464D8"/>
    <w:rsid w:val="71852CE9"/>
    <w:rsid w:val="71EB6773"/>
    <w:rsid w:val="738628B0"/>
    <w:rsid w:val="756A7D7D"/>
    <w:rsid w:val="7BE6A54D"/>
    <w:rsid w:val="7C2B0767"/>
    <w:rsid w:val="7CE47543"/>
    <w:rsid w:val="7CF7CF0D"/>
    <w:rsid w:val="7F55265E"/>
    <w:rsid w:val="7FFE82ED"/>
    <w:rsid w:val="9DF701D0"/>
    <w:rsid w:val="AFF54757"/>
    <w:rsid w:val="BCFB5974"/>
    <w:rsid w:val="BF27E0AF"/>
    <w:rsid w:val="D5FFB9FA"/>
    <w:rsid w:val="D775D75D"/>
    <w:rsid w:val="DF4220F7"/>
    <w:rsid w:val="EC7FFDBD"/>
    <w:rsid w:val="F7879946"/>
    <w:rsid w:val="FEBF7412"/>
    <w:rsid w:val="FFFFE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70" w:lineRule="exact"/>
      <w:ind w:firstLine="88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70" w:lineRule="exact"/>
      <w:ind w:firstLine="0" w:firstLineChars="0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link w:val="16"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70" w:lineRule="exact"/>
      <w:outlineLvl w:val="1"/>
    </w:pPr>
    <w:rPr>
      <w:rFonts w:ascii="Times New Roman" w:hAnsi="Times New Roman" w:eastAsia="黑体"/>
    </w:rPr>
  </w:style>
  <w:style w:type="paragraph" w:styleId="4">
    <w:name w:val="heading 3"/>
    <w:basedOn w:val="1"/>
    <w:next w:val="1"/>
    <w:link w:val="17"/>
    <w:unhideWhenUsed/>
    <w:qFormat/>
    <w:uiPriority w:val="0"/>
    <w:pPr>
      <w:keepNext/>
      <w:keepLines/>
      <w:spacing w:beforeLines="0" w:beforeAutospacing="0" w:afterLines="0" w:afterAutospacing="0" w:line="570" w:lineRule="exact"/>
      <w:outlineLvl w:val="2"/>
    </w:pPr>
    <w:rPr>
      <w:rFonts w:ascii="Times New Roman" w:hAnsi="Times New Roman" w:eastAsia="楷体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70" w:lineRule="exact"/>
      <w:outlineLvl w:val="3"/>
    </w:pPr>
    <w:rPr>
      <w:rFonts w:ascii="Times New Roman" w:hAnsi="Times New Roman" w:eastAsia="仿宋_GB2312"/>
      <w:b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5"/>
    <w:qFormat/>
    <w:uiPriority w:val="0"/>
    <w:pPr>
      <w:adjustRightInd w:val="0"/>
      <w:snapToGrid w:val="0"/>
      <w:spacing w:line="570" w:lineRule="exact"/>
      <w:ind w:firstLine="883" w:firstLineChars="200"/>
      <w:jc w:val="both"/>
    </w:pPr>
    <w:rPr>
      <w:rFonts w:ascii="Times New Roman" w:hAnsi="Times New Roman" w:eastAsia="仿宋_GB2312"/>
      <w:color w:val="000000" w:themeColor="text1"/>
      <w:sz w:val="32"/>
      <w:szCs w:val="32"/>
      <w:lang w:eastAsia="en-US"/>
      <w14:textFill>
        <w14:solidFill>
          <w14:schemeClr w14:val="tx1"/>
        </w14:solidFill>
      </w14:textFill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rPr>
      <w:sz w:val="24"/>
    </w:rPr>
  </w:style>
  <w:style w:type="table" w:styleId="11">
    <w:name w:val="Table Grid"/>
    <w:basedOn w:val="10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character" w:customStyle="1" w:styleId="15">
    <w:name w:val="Body Text Char"/>
    <w:basedOn w:val="12"/>
    <w:link w:val="6"/>
    <w:qFormat/>
    <w:uiPriority w:val="99"/>
    <w:rPr>
      <w:rFonts w:ascii="Times New Roman" w:hAnsi="Times New Roman" w:eastAsia="仿宋_GB2312"/>
      <w:color w:val="000000" w:themeColor="text1"/>
      <w:sz w:val="32"/>
      <w:szCs w:val="32"/>
      <w:lang w:eastAsia="en-US"/>
      <w14:textFill>
        <w14:solidFill>
          <w14:schemeClr w14:val="tx1"/>
        </w14:solidFill>
      </w14:textFill>
    </w:rPr>
  </w:style>
  <w:style w:type="character" w:customStyle="1" w:styleId="16">
    <w:name w:val="Heading 2 Char"/>
    <w:link w:val="3"/>
    <w:qFormat/>
    <w:uiPriority w:val="9"/>
    <w:rPr>
      <w:rFonts w:ascii="Times New Roman" w:hAnsi="Times New Roman" w:eastAsia="黑体"/>
    </w:rPr>
  </w:style>
  <w:style w:type="character" w:customStyle="1" w:styleId="17">
    <w:name w:val="Heading 3 Char"/>
    <w:link w:val="4"/>
    <w:qFormat/>
    <w:uiPriority w:val="9"/>
    <w:rPr>
      <w:rFonts w:ascii="Times New Roman" w:hAnsi="Times New Roman" w:eastAsia="楷体"/>
    </w:rPr>
  </w:style>
  <w:style w:type="paragraph" w:customStyle="1" w:styleId="18">
    <w:name w:val="标题5"/>
    <w:basedOn w:val="1"/>
    <w:qFormat/>
    <w:uiPriority w:val="0"/>
    <w:pPr>
      <w:adjustRightInd/>
      <w:snapToGrid/>
      <w:ind w:firstLine="640"/>
      <w:outlineLvl w:val="9"/>
    </w:pPr>
    <w:rPr>
      <w:rFonts w:ascii="Times New Roman" w:hAnsi="Times New Roman" w:cs="Times New Roman"/>
      <w:szCs w:val="32"/>
    </w:rPr>
  </w:style>
  <w:style w:type="character" w:customStyle="1" w:styleId="19">
    <w:name w:val="font21"/>
    <w:basedOn w:val="12"/>
    <w:qFormat/>
    <w:uiPriority w:val="0"/>
    <w:rPr>
      <w:rFonts w:hint="eastAsia" w:ascii="等线" w:hAnsi="等线" w:eastAsia="等线" w:cs="等线"/>
      <w:color w:val="000000"/>
      <w:sz w:val="22"/>
      <w:szCs w:val="22"/>
      <w:u w:val="none"/>
    </w:rPr>
  </w:style>
  <w:style w:type="character" w:customStyle="1" w:styleId="20">
    <w:name w:val="font31"/>
    <w:basedOn w:val="12"/>
    <w:qFormat/>
    <w:uiPriority w:val="0"/>
    <w:rPr>
      <w:rFonts w:hint="default" w:ascii="Arial" w:hAnsi="Arial" w:cs="Arial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1941</Words>
  <Characters>2054</Characters>
  <Lines>0</Lines>
  <Paragraphs>0</Paragraphs>
  <TotalTime>12</TotalTime>
  <ScaleCrop>false</ScaleCrop>
  <LinksUpToDate>false</LinksUpToDate>
  <CharactersWithSpaces>2109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2026-10-01T20:58:00Z</dcterms:created>
  <dc:creator>Tangyaosoo-</dc:creator>
  <cp:lastModifiedBy>娟</cp:lastModifiedBy>
  <cp:lastPrinted>2026-10-12T15:41:00Z</cp:lastPrinted>
  <dcterms:modified xsi:type="dcterms:W3CDTF">2026-10-12T09:27:53Z</dcterms:modified>
  <dc:title>办文说明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30E5EC87EEC94684A6D613471C5135FE_13</vt:lpwstr>
  </property>
  <property fmtid="{D5CDD505-2E9C-101B-9397-08002B2CF9AE}" pid="4" name="KSOTemplateDocerSaveRecord">
    <vt:lpwstr>eyJoZGlkIjoiMzkwZGQ0YjYyNGM0ZjRjZDRiM2VlMTZiNjA1ZmVkMTEiLCJ1c2VySWQiOiIxMDYzMDYzMjY3In0=</vt:lpwstr>
  </property>
</Properties>
</file>