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jc w:val="center"/>
        <w:rPr>
          <w:rFonts w:ascii="Times New Roman" w:hAnsi="Times New Roman"/>
          <w:szCs w:val="22"/>
        </w:rPr>
      </w:pPr>
      <w:r>
        <w:rPr>
          <w:rFonts w:hint="eastAsia" w:ascii="Times New Roman" w:hAnsi="Times New Roman" w:eastAsia="方正小标宋_GBK"/>
          <w:bCs/>
          <w:kern w:val="0"/>
          <w:sz w:val="36"/>
          <w:szCs w:val="36"/>
        </w:rPr>
        <w:t>资源综合利用产品目录</w:t>
      </w:r>
      <w:bookmarkStart w:id="0" w:name="_GoBack"/>
      <w:bookmarkEnd w:id="0"/>
    </w:p>
    <w:tbl>
      <w:tblPr>
        <w:tblStyle w:val="3"/>
        <w:tblW w:w="9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41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tblHeader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综合利用的资源名称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综合利用产品名称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技术标准和相关条件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废旧电池及其拆解物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金属及镍钴锰氢氧化物、镍钴锰酸锂、氯化钴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1.产品原料中95%以上利用上述资源；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2.镍钴锰氢氧化物符合《镍、钴、锰三元素复合氢氧化物》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（GB/T26300-2010）</w:t>
            </w:r>
            <w:r>
              <w:rPr>
                <w:rFonts w:ascii="Times New Roman" w:hAnsi="Times New Roman"/>
                <w:sz w:val="18"/>
                <w:szCs w:val="18"/>
              </w:rPr>
              <w:t>规定的技术要求。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废显（定）影液、废胶片、废像纸、废感光剂等废感光材料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银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1.产品原料95%以上来自所列资源；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纳税人必须通过ISO9000、ISO14000认证。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废旧电机、废旧电线电缆、废铝制易拉罐、报废汽车、报废摩托车、报废船舶、废旧电器电子产品、废旧太阳能光伏器件、废旧灯泡（管），及其拆解物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经冶炼、提纯生产的金属及合金（不包括铁及铁合金）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1.产品原料70%来自所列资源；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2.法律、法规或规章对相关废旧产品拆解规定了资质条件的，纳税人应当取得相应的资质。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废催化剂、电解废弃物、电镀废弃物、废旧线路板、烟尘灰、湿法泥、熔炼渣、线路板蚀刻废液、锡箔纸灰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经冶炼、提纯或化合生产的金属、合金及金属化合物（不包括铁及铁合金），冰晶石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1.产品原料70%来自所列资源；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纳税人必须通过ISO9000、ISO14000认证。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报废汽车、报废摩托车、报废船舶、废旧电器电子产品、废旧农机具、报废机器设备、废旧生活用品、工业边角余料、建筑拆解物等产生或拆解出来的废钢铁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炼钢炉料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1.产品原料95%以上来自所列资源；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2.炼钢炉料符合《废钢铁》（GB4223-2004）规定的技术要求；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3.法律、法规或规章对相关废旧产品拆解规定了资质条件的，纳税人应当取得相应的资质；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4.纳税人符合工业和信息化部《废钢铁加工行业准入条件》的相关规定；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5.炼钢炉料的销售对象应为符合工业和信息化部《钢铁行业规范条件》或《铸造行业准入条件》并公告的钢铁企业或铸造企业。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稀土产品加工废料，废弃稀土产品及拆解物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稀土金属及稀土氧化物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1.产品原料95%以上来自所列资源；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2.纳税人符合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国家发展改革委、环境保护部、工业和信息化部</w:t>
            </w:r>
            <w:r>
              <w:rPr>
                <w:rFonts w:ascii="Times New Roman" w:hAnsi="Times New Roman"/>
                <w:sz w:val="18"/>
                <w:szCs w:val="18"/>
              </w:rPr>
              <w:t>《稀土冶炼行业清洁生产评价指标体系》规定的技术要求。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废塑料、废旧聚氯乙烯（PVC）制品、废铝塑（纸铝、纸塑）复合纸包装材料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汽油、柴油、石油焦、碳黑、再生纸浆、铝粉、塑木（木塑）制品、（汽车、摩托车、家电、管材用）改性再生专用料、化纤用再生聚酯专用料、瓶用再生聚对苯二甲酸乙二醇酯（PET）树脂及再生塑料制品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1.产品原料70%以上来自所列资源；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2.化纤用再生聚酯专用料杂质含量低于0.5㎎/g、水分含量低于1%，瓶用再生聚对苯二甲酸乙二醇酯（PET）树脂乙醛质量分数小于等于1ug/g；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3.纳税人必须通过ISO9000、ISO14000认证。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废纸、农作物秸秆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纸浆、秸秆浆和纸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1.产品原料70%以上来自所列资源；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2.废水排放符合《制浆造纸工业水污染物排放标准》（GB3544-2008）规定的技术要求；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3.纳税人符合《制浆造纸行业清洁生产评价指标体系》规定的技术要求；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4.纳税人必须通过ISO9000、ISO14000认证。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废旧轮胎、废橡胶制品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胶粉、翻新轮胎、再生橡胶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1.产品原料</w:t>
            </w:r>
            <w:r>
              <w:rPr>
                <w:rFonts w:ascii="Times New Roman" w:hAnsi="Times New Roman"/>
                <w:sz w:val="18"/>
                <w:szCs w:val="18"/>
              </w:rPr>
              <w:t>95%以上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2.胶粉符合（GB/T19208—2008）规定的技术要求；翻新轮胎符合（GB7037—2007）、（GB14646—2007）或（HG/T3979—2007）规定的技术要求；再生橡胶符合（GB/T13460—2008）规定的技术要求；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3.纳税人必须通过ISO9000、ISO14000认证。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废弃天然纤维、化学纤维及其制品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纤维纱及织布、无纺布、毡、粘合剂及再生聚酯产品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产品原料90%以上来自所列资源。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废玻璃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玻璃熟料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1.产品原料95%以上来自所列资源；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2.产品符合《废玻璃分类》（SB/T 10900-2012）的技术要求；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3.纳税人符合《废玻璃回收分拣技术规范》（SB/T11108-2014）规定的技术要求。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废渣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砖瓦（不含烧结普通砖）、砌块、陶粒、墙板、管材（管桩）、混凝土、砂浆、道路井盖、道路护栏、防火材料、耐火材料（镁铬砖除外）、保温材料、矿（岩）棉、微晶玻璃、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型玻璃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产品原料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70%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以上来自所列资源。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废渣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水泥、水泥熟料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1.42.5及以上等级水泥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原料20%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以上来自所列资源，其他水泥、水泥熟料的原料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40%以上来自所列资源；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2．纳税人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符合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《水泥工业大气污染物排放标准》（GB4915—2013）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规定的技术要求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6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建（构）筑废物、煤矸石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建筑砂石骨料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1.产品原料90%以上来自所列资源；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2.产品以建（构）筑废物为原料的，符合《混凝土用再生粗骨料》（GB/T 25177-2010）或《混凝土和砂浆用再生细骨料》（GB/T 25176-2010）的技术要求；以煤矸石为原料的，符合《建设用砂》（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GB/T 14684-2011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）或《建设用卵石、碎石》（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GB/T 14685-2011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）规定的技术要求。</w:t>
            </w:r>
          </w:p>
        </w:tc>
      </w:tr>
    </w:tbl>
    <w:p>
      <w:pPr>
        <w:ind w:firstLine="420"/>
        <w:rPr>
          <w:rFonts w:hint="eastAsia" w:ascii="Times New Roman" w:hAnsi="Times New Roman"/>
          <w:color w:val="000000"/>
          <w:szCs w:val="22"/>
        </w:rPr>
      </w:pPr>
      <w:r>
        <w:rPr>
          <w:rFonts w:hint="eastAsia" w:ascii="Times New Roman" w:hAnsi="Times New Roman"/>
          <w:color w:val="000000"/>
          <w:szCs w:val="22"/>
        </w:rPr>
        <w:t xml:space="preserve"> 1、概念和定义。</w:t>
      </w:r>
    </w:p>
    <w:p>
      <w:pPr>
        <w:ind w:firstLine="42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“废渣”，是指采矿选矿废渣、冶炼废渣、化工废渣和其他废渣。其中，采矿选矿废渣，是指在矿产资源开采加工过程中产生的煤矸石、粉末、粉尘和污泥；冶炼废渣，是指转炉渣、电炉渣、铁合金炉渣、氧化铝赤泥和有色金属灰渣，但不包括高炉水渣；化工废渣，是指硫铁矿渣、硫铁矿煅烧渣、硫酸渣、硫石膏、磷石膏、磷矿煅烧渣、含氰废渣、电石渣、磷肥渣、硫磺渣、碱渣、含钡废渣、铬渣、盐泥、总溶剂渣、黄磷渣、柠檬酸渣、脱硫石膏、氟石膏、钛石膏和废石膏模；其他废渣，是指粉煤灰、燃煤炉渣、江河（湖、海、渠）道淤泥、淤沙、建筑垃圾、废玻璃、污水处理厂处理污水产生的污泥。 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“冶炼”，是指通过焙烧、熔炼、电解以及使用化学药剂等方法把原料中的金属提取出来，减少金属中所含的杂质或增加金属中某种成分，炼成所需要的金属。冶炼包括火法冶炼、湿法提取或电化学沉积。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“烟尘灰”，是指金属冶炼厂火法冶炼过程中，为保护环境经除尘器（塔）收集的粉灰状及泥状残料物。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“湿法泥”，是指湿法冶炼生产排出的污泥，经集中环保处置后产生的中和渣，且具有一定回收价值的污泥状废弃物。</w:t>
      </w:r>
    </w:p>
    <w:p>
      <w:pPr>
        <w:ind w:firstLine="420" w:firstLineChars="200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“熔炼渣”，是指有色金属火法冶炼过程中，由于比重的差异，金属成分因比重大沉底形成金属锭，而比重较小的硅、铁、钙等化合物浮在金属表层形成的废渣。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“农作物秸秆”，是指农业生产过程中，收获了粮食作物（指稻谷、小麦、玉米、薯类等）、油料作物（指油菜籽、花生、大豆、葵花籽、芝麻籽、胡麻籽等）、棉花、麻类、糖料、烟叶、药材、花卉、蔬菜和水果等以后残留的茎秆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2. 综合利用的资源比例计算方式。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（1）综合利用的资源占生产原料或者燃料的比重，以重量比例计算。其中，水泥、水泥熟料原料中掺兑废渣的比重，按以下方法计算：</w:t>
      </w:r>
    </w:p>
    <w:p>
      <w:pPr>
        <w:ind w:firstLine="525" w:firstLineChars="25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①对经生料烧制和熟料研磨阶段生产的水泥，其掺兑废渣比例计算公式为：掺兑废渣比例＝（生料烧制阶段掺兑废渣数量＋熟料研磨阶段掺兑废渣数量）÷（除废渣以外的生料数量＋生料烧制和熟料研磨阶段掺兑废渣数量＋其他材料数量）×100%；</w:t>
      </w:r>
    </w:p>
    <w:p>
      <w:pPr>
        <w:ind w:firstLine="525" w:firstLineChars="25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②对外购水泥熟料采用研磨工艺生产的水泥，其掺兑废渣比例计算公式为：掺兑废渣比例＝熟料研磨阶段掺兑废渣数量÷（熟料数量＋熟料研磨阶段掺兑废渣数量＋其他材料数量）×100%；</w:t>
      </w:r>
    </w:p>
    <w:p>
      <w:pPr>
        <w:ind w:firstLine="525" w:firstLineChars="25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③对生料烧制的水泥熟料，其掺兑废渣比例计算公式为：掺兑废渣比例＝生料烧制阶段掺兑废渣数量÷（除废渣以外的生料数量＋生料烧制阶段掺兑废渣数量＋其他材料数量）×100%。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（2）综合利用的资源为余热、余压的，按其占生产电力、热力消耗的能源比例计算。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3. 表中所列综合利用产品，应当符合相应的国家或行业标准。既有国家标准又有行业标准的，应当符合相对高的标准；没有国家标准或行业标准的，应当符合按规定向质量技术监督部门备案的企业标准。</w:t>
      </w:r>
    </w:p>
    <w:p>
      <w:pPr>
        <w:ind w:firstLine="420" w:firstLineChars="20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表中所列各类国家标准、行业标准，如在执行过程中有更新、替换，统一按最新的国家标准、行业标准执行。</w:t>
      </w:r>
    </w:p>
    <w:p>
      <w:pPr>
        <w:ind w:firstLine="420" w:firstLineChars="200"/>
      </w:pPr>
      <w:r>
        <w:rPr>
          <w:rFonts w:ascii="Times New Roman" w:hAnsi="Times New Roman"/>
          <w:color w:val="000000"/>
          <w:szCs w:val="22"/>
        </w:rPr>
        <w:t>4. 表中所称“以上”均含本数。</w:t>
      </w:r>
    </w:p>
    <w:sectPr>
      <w:pgSz w:w="11906" w:h="16838"/>
      <w:pgMar w:top="153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178A"/>
    <w:rsid w:val="27A645FC"/>
    <w:rsid w:val="4FB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2020-04-29T08:36:00Z</dcterms:created>
  <dc:creator>刘泉江</dc:creator>
  <cp:lastModifiedBy>刘泉江</cp:lastModifiedBy>
  <dcterms:modified xsi:type="dcterms:W3CDTF">2020-04-29T09:14:47Z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