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580" w:lineRule="exact"/>
        <w:rPr>
          <w:rFonts w:hint="eastAsia" w:eastAsia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jc w:val="center"/>
        <w:rPr>
          <w:rFonts w:eastAsia="方正小标宋简体"/>
          <w:color w:val="333333"/>
          <w:kern w:val="0"/>
          <w:sz w:val="40"/>
          <w:szCs w:val="40"/>
        </w:rPr>
      </w:pPr>
      <w:r>
        <w:rPr>
          <w:b/>
          <w:bCs/>
          <w:color w:val="000000"/>
          <w:kern w:val="0"/>
          <w:sz w:val="36"/>
          <w:szCs w:val="36"/>
          <w:shd w:val="clear" w:color="auto" w:fill="FFFFFF"/>
        </w:rPr>
        <w:t xml:space="preserve"> </w:t>
      </w:r>
      <w:r>
        <w:rPr>
          <w:rFonts w:eastAsia="方正小标宋简体"/>
          <w:bCs/>
          <w:color w:val="000000"/>
          <w:kern w:val="0"/>
          <w:sz w:val="36"/>
          <w:szCs w:val="36"/>
          <w:shd w:val="clear" w:color="auto" w:fill="FFFFFF"/>
        </w:rPr>
        <w:t xml:space="preserve"> </w:t>
      </w:r>
      <w:r>
        <w:rPr>
          <w:rFonts w:eastAsia="方正小标宋简体"/>
          <w:bCs/>
          <w:color w:val="000000"/>
          <w:kern w:val="0"/>
          <w:sz w:val="40"/>
          <w:szCs w:val="40"/>
          <w:shd w:val="clear" w:color="auto" w:fill="FFFFFF"/>
        </w:rPr>
        <w:t xml:space="preserve"> 企业研发准备金制度（参考模板）</w:t>
      </w:r>
    </w:p>
    <w:p>
      <w:pPr>
        <w:widowControl/>
        <w:snapToGrid w:val="0"/>
        <w:spacing w:line="580" w:lineRule="exact"/>
        <w:ind w:firstLine="640" w:firstLineChars="200"/>
        <w:rPr>
          <w:rFonts w:eastAsia="方正仿宋_GBK"/>
          <w:b/>
          <w:bCs/>
          <w:color w:val="333333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第一章  总则</w:t>
      </w:r>
    </w:p>
    <w:p>
      <w:pPr>
        <w:widowControl/>
        <w:snapToGrid w:val="0"/>
        <w:spacing w:line="560" w:lineRule="exact"/>
        <w:ind w:firstLine="592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pacing w:val="-12"/>
          <w:sz w:val="32"/>
          <w:szCs w:val="32"/>
        </w:rPr>
        <w:t>包括制定目的、意义、依据、研发准备金概念、适用范围等内容。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第二章  提取与分配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包括计提依据、计提比率、计提时间以及在各研发项目间的分配等内容。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第三章  使用范围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包括研发准备金的开支范围和标准，亦即研发经费的开支范围和标准，以及不可列支范围。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第四章  管理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包括研发准备金的管理流程、部门职责分工、审批/报销程序，研发经费预算、研发经费支出台账管理等内容。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第五章  核算、报告与披露（或财务处理）</w:t>
      </w:r>
    </w:p>
    <w:p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包括研发准备金的计提、转回，以及研发经费支出、研究开发费用归集等事项的会计核算处理，在会计报表中的列示，在附注中的信息披露，以及研发准备金的纳税调整等内容。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第六章  附则</w:t>
      </w:r>
    </w:p>
    <w:p>
      <w:pPr>
        <w:spacing w:line="560" w:lineRule="exact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方正仿宋_GBK"/>
          <w:b/>
          <w:bCs/>
          <w:color w:val="000000"/>
          <w:sz w:val="32"/>
          <w:szCs w:val="32"/>
        </w:rPr>
        <w:t xml:space="preserve">   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上述各章未尽事项，可在本章中明确。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B0300000000000000"/>
    <w:charset w:val="86"/>
    <w:family w:val="swiss"/>
    <w:pitch w:val="default"/>
    <w:sig w:usb0="00000000" w:usb1="00000000" w:usb2="00000010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80FAC"/>
    <w:rsid w:val="3958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宋体" w:hAnsi="宋体" w:cs="Courier New"/>
      <w:b/>
      <w:color w:val="000000"/>
      <w:spacing w:val="-10"/>
      <w:kern w:val="16"/>
      <w:sz w:val="24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_Style 21"/>
    <w:basedOn w:val="1"/>
    <w:link w:val="3"/>
    <w:qFormat/>
    <w:uiPriority w:val="0"/>
    <w:pPr>
      <w:widowControl/>
      <w:spacing w:before="80"/>
    </w:pPr>
    <w:rPr>
      <w:rFonts w:ascii="宋体" w:hAnsi="宋体" w:cs="Courier New"/>
      <w:b/>
      <w:color w:val="000000"/>
      <w:spacing w:val="-10"/>
      <w:kern w:val="16"/>
      <w:sz w:val="24"/>
      <w:szCs w:val="32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2018-03-20T07:13:00Z</dcterms:created>
  <dc:creator>新闻中心</dc:creator>
  <cp:lastModifiedBy>新闻中心</cp:lastModifiedBy>
  <dcterms:modified xsi:type="dcterms:W3CDTF">2018-03-20T07:18:07Z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