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DDDDF">
      <w:pPr>
        <w:keepNext w:val="0"/>
        <w:keepLines w:val="0"/>
        <w:pageBreakBefore w:val="0"/>
        <w:widowControl w:val="0"/>
        <w:wordWrap/>
        <w:overflowPunct/>
        <w:bidi w:val="0"/>
        <w:spacing w:after="0" w:line="600" w:lineRule="exact"/>
        <w:ind w:right="0" w:rightChars="0"/>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附件</w:t>
      </w:r>
      <w:r>
        <w:rPr>
          <w:rFonts w:hint="default" w:ascii="Times New Roman" w:hAnsi="Times New Roman" w:eastAsia="宋体" w:cs="Times New Roman"/>
          <w:sz w:val="32"/>
          <w:szCs w:val="32"/>
          <w:lang w:val="en-US" w:eastAsia="zh-CN"/>
        </w:rPr>
        <w:t>3</w:t>
      </w:r>
    </w:p>
    <w:p w14:paraId="3C810883">
      <w:pPr>
        <w:keepNext w:val="0"/>
        <w:keepLines w:val="0"/>
        <w:pageBreakBefore w:val="0"/>
        <w:widowControl w:val="0"/>
        <w:wordWrap/>
        <w:overflowPunct/>
        <w:bidi w:val="0"/>
        <w:spacing w:after="0" w:line="600" w:lineRule="exact"/>
        <w:ind w:right="0" w:rightChars="0"/>
        <w:rPr>
          <w:rFonts w:hint="default" w:ascii="Times New Roman" w:hAnsi="Times New Roman" w:eastAsia="宋体" w:cs="Times New Roman"/>
          <w:sz w:val="32"/>
          <w:szCs w:val="32"/>
          <w:lang w:val="en-US" w:eastAsia="zh-CN"/>
        </w:rPr>
      </w:pPr>
      <w:r>
        <w:rPr>
          <w:rFonts w:hint="default" w:ascii="Times New Roman" w:hAnsi="Times New Roman" w:eastAsia="宋体" w:cs="Times New Roman"/>
          <w:b w:val="0"/>
          <w:bCs w:val="0"/>
          <w:i w:val="0"/>
          <w:iCs w:val="0"/>
          <w:color w:val="000000"/>
          <w:sz w:val="32"/>
          <w:szCs w:val="32"/>
          <w:highlight w:val="none"/>
          <w:vertAlign w:val="baseline"/>
        </w:rPr>
        <w:t>Appendix 3</w:t>
      </w:r>
    </w:p>
    <w:p w14:paraId="5F4BDC2F">
      <w:pPr>
        <w:keepNext w:val="0"/>
        <w:keepLines w:val="0"/>
        <w:pageBreakBefore w:val="0"/>
        <w:widowControl w:val="0"/>
        <w:wordWrap/>
        <w:overflowPunct/>
        <w:bidi w:val="0"/>
        <w:spacing w:after="0" w:line="580" w:lineRule="exact"/>
        <w:ind w:right="0" w:rightChars="0" w:firstLine="118" w:firstLineChars="41"/>
        <w:jc w:val="both"/>
        <w:rPr>
          <w:rFonts w:hint="default" w:ascii="Times New Roman" w:hAnsi="Times New Roman" w:eastAsia="宋体" w:cs="Times New Roman"/>
          <w:w w:val="90"/>
          <w:sz w:val="32"/>
          <w:szCs w:val="32"/>
        </w:rPr>
      </w:pPr>
    </w:p>
    <w:p w14:paraId="45562207">
      <w:pPr>
        <w:keepNext w:val="0"/>
        <w:keepLines w:val="0"/>
        <w:pageBreakBefore w:val="0"/>
        <w:widowControl w:val="0"/>
        <w:wordWrap/>
        <w:overflowPunct/>
        <w:bidi w:val="0"/>
        <w:adjustRightInd w:val="0"/>
        <w:snapToGrid w:val="0"/>
        <w:spacing w:after="0" w:line="580" w:lineRule="exact"/>
        <w:ind w:right="0" w:rightChars="0"/>
        <w:jc w:val="center"/>
        <w:rPr>
          <w:rFonts w:hint="default" w:ascii="Times New Roman" w:hAnsi="Times New Roman" w:eastAsia="宋体" w:cs="Times New Roman"/>
          <w:color w:val="000000"/>
          <w:sz w:val="44"/>
          <w:szCs w:val="44"/>
          <w:lang w:val="en"/>
        </w:rPr>
      </w:pPr>
      <w:r>
        <w:rPr>
          <w:rFonts w:hint="default" w:ascii="Times New Roman" w:hAnsi="Times New Roman" w:eastAsia="宋体" w:cs="Times New Roman"/>
          <w:b w:val="0"/>
          <w:bCs w:val="0"/>
          <w:i w:val="0"/>
          <w:iCs w:val="0"/>
          <w:color w:val="000000"/>
          <w:sz w:val="44"/>
          <w:szCs w:val="44"/>
          <w:highlight w:val="none"/>
          <w:vertAlign w:val="baseline"/>
          <w:lang w:val="en"/>
        </w:rPr>
        <w:t>“马栏山杯”数智视听技术全球创新创业大赛组织方案</w:t>
      </w:r>
    </w:p>
    <w:p w14:paraId="1734A700">
      <w:pPr>
        <w:keepNext w:val="0"/>
        <w:keepLines w:val="0"/>
        <w:pageBreakBefore w:val="0"/>
        <w:widowControl w:val="0"/>
        <w:wordWrap/>
        <w:overflowPunct/>
        <w:bidi w:val="0"/>
        <w:adjustRightInd w:val="0"/>
        <w:snapToGrid w:val="0"/>
        <w:spacing w:after="0" w:line="580" w:lineRule="exact"/>
        <w:ind w:right="0" w:rightChars="0"/>
        <w:jc w:val="center"/>
        <w:rPr>
          <w:rFonts w:hint="default" w:ascii="Times New Roman" w:hAnsi="Times New Roman" w:eastAsia="宋体" w:cs="Times New Roman"/>
          <w:color w:val="000000"/>
          <w:sz w:val="44"/>
          <w:szCs w:val="44"/>
          <w:lang w:val="en"/>
        </w:rPr>
      </w:pPr>
      <w:r>
        <w:rPr>
          <w:rFonts w:hint="default" w:ascii="Times New Roman" w:hAnsi="Times New Roman" w:eastAsia="宋体" w:cs="Times New Roman"/>
          <w:b w:val="0"/>
          <w:bCs w:val="0"/>
          <w:i w:val="0"/>
          <w:iCs w:val="0"/>
          <w:color w:val="000000"/>
          <w:sz w:val="44"/>
          <w:szCs w:val="44"/>
          <w:highlight w:val="none"/>
          <w:vertAlign w:val="baseline"/>
          <w:lang w:val="en"/>
        </w:rPr>
        <w:t>Organizing Plan of "Malanshan Cup" Global Innovation and Entrepreneurship Competition in Digital Intelligent Audio-Visual Technology</w:t>
      </w:r>
    </w:p>
    <w:p w14:paraId="632B811B">
      <w:pPr>
        <w:keepNext w:val="0"/>
        <w:keepLines w:val="0"/>
        <w:pageBreakBefore w:val="0"/>
        <w:widowControl w:val="0"/>
        <w:wordWrap/>
        <w:overflowPunct/>
        <w:bidi w:val="0"/>
        <w:spacing w:after="0" w:line="580" w:lineRule="exact"/>
        <w:ind w:right="0" w:rightChars="0"/>
        <w:jc w:val="center"/>
        <w:rPr>
          <w:rFonts w:hint="default" w:ascii="Times New Roman" w:hAnsi="Times New Roman" w:eastAsia="宋体" w:cs="Times New Roman"/>
          <w:sz w:val="44"/>
          <w:szCs w:val="44"/>
          <w:lang w:val="en"/>
        </w:rPr>
      </w:pPr>
    </w:p>
    <w:p w14:paraId="0D6695A2">
      <w:pPr>
        <w:keepNext w:val="0"/>
        <w:keepLines w:val="0"/>
        <w:pageBreakBefore w:val="0"/>
        <w:widowControl w:val="0"/>
        <w:wordWrap/>
        <w:overflowPunct/>
        <w:bidi w:val="0"/>
        <w:spacing w:after="0" w:line="580" w:lineRule="exact"/>
        <w:ind w:right="0" w:rightChars="0"/>
        <w:jc w:val="center"/>
        <w:rPr>
          <w:rFonts w:hint="default" w:ascii="Times New Roman" w:hAnsi="Times New Roman" w:eastAsia="宋体" w:cs="Times New Roman"/>
          <w:sz w:val="44"/>
          <w:szCs w:val="44"/>
          <w:lang w:val="en"/>
        </w:rPr>
      </w:pPr>
    </w:p>
    <w:p w14:paraId="08EBC379">
      <w:pPr>
        <w:keepNext w:val="0"/>
        <w:keepLines w:val="0"/>
        <w:pageBreakBefore w:val="0"/>
        <w:widowControl w:val="0"/>
        <w:wordWrap/>
        <w:overflowPunct/>
        <w:bidi w:val="0"/>
        <w:adjustRightInd w:val="0"/>
        <w:snapToGrid w:val="0"/>
        <w:spacing w:after="0" w:line="580" w:lineRule="exact"/>
        <w:ind w:right="0" w:rightChars="0"/>
        <w:jc w:val="both"/>
        <w:rPr>
          <w:rFonts w:hint="default" w:ascii="Times New Roman" w:hAnsi="Times New Roman" w:eastAsia="宋体" w:cs="Times New Roman"/>
          <w:color w:val="000000"/>
          <w:sz w:val="44"/>
          <w:szCs w:val="44"/>
          <w:lang w:val="en"/>
        </w:rPr>
      </w:pPr>
    </w:p>
    <w:p w14:paraId="70E4CAF4">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lang w:eastAsia="zh-CN"/>
        </w:rPr>
      </w:pPr>
      <w:r>
        <w:rPr>
          <w:rFonts w:hint="default" w:ascii="Times New Roman" w:hAnsi="Times New Roman" w:eastAsia="宋体" w:cs="Times New Roman"/>
          <w:sz w:val="32"/>
          <w:szCs w:val="32"/>
        </w:rPr>
        <w:t>一、</w:t>
      </w:r>
      <w:r>
        <w:rPr>
          <w:rFonts w:hint="default" w:ascii="Times New Roman" w:hAnsi="Times New Roman" w:eastAsia="宋体" w:cs="Times New Roman"/>
          <w:sz w:val="32"/>
          <w:szCs w:val="32"/>
          <w:lang w:eastAsia="zh-CN"/>
        </w:rPr>
        <w:t>参赛方向</w:t>
      </w:r>
    </w:p>
    <w:p w14:paraId="4DD78C29">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lang w:eastAsia="zh-CN"/>
        </w:rPr>
      </w:pPr>
      <w:r>
        <w:rPr>
          <w:rFonts w:hint="default" w:ascii="Times New Roman" w:hAnsi="Times New Roman" w:eastAsia="宋体" w:cs="Times New Roman"/>
          <w:b w:val="0"/>
          <w:bCs w:val="0"/>
          <w:i w:val="0"/>
          <w:iCs w:val="0"/>
          <w:color w:val="000000"/>
          <w:sz w:val="32"/>
          <w:szCs w:val="32"/>
          <w:highlight w:val="none"/>
          <w:vertAlign w:val="baseline"/>
        </w:rPr>
        <w:t>I. Competition focuses</w:t>
      </w:r>
    </w:p>
    <w:p w14:paraId="4189066D">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lang w:val="en-US" w:eastAsia="zh-CN"/>
        </w:rPr>
      </w:pPr>
      <w:r>
        <w:rPr>
          <w:rFonts w:hint="default" w:ascii="Times New Roman" w:hAnsi="Times New Roman" w:eastAsia="宋体" w:cs="Times New Roman"/>
          <w:sz w:val="32"/>
          <w:szCs w:val="32"/>
          <w:shd w:val="clear" w:color="auto" w:fill="FFFFFF"/>
          <w:lang w:val="en-US" w:eastAsia="zh-CN"/>
        </w:rPr>
        <w:t>重点聚焦以下方向：视听数据治理与服务，国风AI音视频生成，智能视听处理，沉浸式视听技术，AI赋能影视、动漫、游戏、演艺、音乐等内容创制，数智视听技术赋能文旅、教育、体育、文化出海等创新场景落地。</w:t>
      </w:r>
    </w:p>
    <w:p w14:paraId="0D4D8291">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lang w:val="en-US" w:eastAsia="zh-CN"/>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 xml:space="preserve">The competition focuses on the following </w:t>
      </w:r>
      <w:r>
        <w:rPr>
          <w:rFonts w:hint="eastAsia" w:cs="Times New Roman"/>
          <w:b w:val="0"/>
          <w:bCs w:val="0"/>
          <w:i w:val="0"/>
          <w:iCs w:val="0"/>
          <w:color w:val="000000"/>
          <w:sz w:val="32"/>
          <w:szCs w:val="32"/>
          <w:highlight w:val="none"/>
          <w:shd w:val="clear" w:color="auto" w:fill="FFFFFF"/>
          <w:vertAlign w:val="baseline"/>
          <w:lang w:val="en-US" w:eastAsia="zh-CN"/>
        </w:rPr>
        <w:t>tracks</w:t>
      </w: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 governance and services of audio-visual data, AI-generated Chinese-style audio-video content, intelligent audio-visual processing, immersive audio-visual technologies, AI-empowered content creation in film/TV, animation, gaming, performance, and music, as well as innovative applications of digital intelligent audio-visual technology in cultural tourism, education, sports, and global cultural outreach.</w:t>
      </w:r>
    </w:p>
    <w:p w14:paraId="67EFB31A">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rPr>
      </w:pPr>
      <w:r>
        <w:rPr>
          <w:rFonts w:hint="default" w:ascii="Times New Roman" w:hAnsi="Times New Roman" w:eastAsia="宋体" w:cs="Times New Roman"/>
          <w:sz w:val="32"/>
          <w:szCs w:val="32"/>
          <w:lang w:eastAsia="zh-CN"/>
        </w:rPr>
        <w:t>二、</w:t>
      </w:r>
      <w:r>
        <w:rPr>
          <w:rFonts w:hint="default" w:ascii="Times New Roman" w:hAnsi="Times New Roman" w:eastAsia="宋体" w:cs="Times New Roman"/>
          <w:sz w:val="32"/>
          <w:szCs w:val="32"/>
        </w:rPr>
        <w:t>参赛条件</w:t>
      </w:r>
    </w:p>
    <w:p w14:paraId="232D002F">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rPr>
      </w:pPr>
      <w:r>
        <w:rPr>
          <w:rFonts w:hint="default" w:ascii="Times New Roman" w:hAnsi="Times New Roman" w:eastAsia="宋体" w:cs="Times New Roman"/>
          <w:b w:val="0"/>
          <w:bCs w:val="0"/>
          <w:i w:val="0"/>
          <w:iCs w:val="0"/>
          <w:color w:val="000000"/>
          <w:sz w:val="32"/>
          <w:szCs w:val="32"/>
          <w:highlight w:val="none"/>
          <w:vertAlign w:val="baseline"/>
          <w:lang w:eastAsia="zh-CN"/>
        </w:rPr>
        <w:t>II. Participation requirements</w:t>
      </w:r>
    </w:p>
    <w:p w14:paraId="3657A679">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b w:val="0"/>
          <w:bCs w:val="0"/>
          <w:sz w:val="32"/>
          <w:szCs w:val="32"/>
          <w:shd w:val="clear" w:color="auto" w:fill="FFFFFF"/>
          <w:lang w:eastAsia="zh-CN"/>
        </w:rPr>
      </w:pPr>
      <w:r>
        <w:rPr>
          <w:rFonts w:hint="default" w:ascii="Times New Roman" w:hAnsi="Times New Roman" w:eastAsia="宋体" w:cs="Times New Roman"/>
          <w:b w:val="0"/>
          <w:bCs w:val="0"/>
          <w:sz w:val="32"/>
          <w:szCs w:val="32"/>
          <w:shd w:val="clear" w:color="auto" w:fill="FFFFFF"/>
          <w:lang w:eastAsia="zh-CN"/>
        </w:rPr>
        <w:t>面向全球创新创业企业和团队</w:t>
      </w:r>
      <w:r>
        <w:rPr>
          <w:rFonts w:hint="default" w:ascii="Times New Roman" w:hAnsi="Times New Roman" w:eastAsia="宋体" w:cs="Times New Roman"/>
          <w:b w:val="0"/>
          <w:bCs w:val="0"/>
          <w:sz w:val="32"/>
          <w:szCs w:val="32"/>
          <w:shd w:val="clear" w:color="auto" w:fill="FFFFFF"/>
          <w:lang w:eastAsia="zh-CN"/>
        </w:rPr>
        <w:t>（个人）</w:t>
      </w:r>
      <w:r>
        <w:rPr>
          <w:rFonts w:hint="default" w:ascii="Times New Roman" w:hAnsi="Times New Roman" w:eastAsia="宋体" w:cs="Times New Roman"/>
          <w:b w:val="0"/>
          <w:bCs w:val="0"/>
          <w:sz w:val="32"/>
          <w:szCs w:val="32"/>
          <w:shd w:val="clear" w:color="auto" w:fill="FFFFFF"/>
          <w:lang w:eastAsia="zh-CN"/>
        </w:rPr>
        <w:t>。具体条件如下：</w:t>
      </w:r>
    </w:p>
    <w:p w14:paraId="7A3877DE">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b w:val="0"/>
          <w:bCs w:val="0"/>
          <w:sz w:val="32"/>
          <w:szCs w:val="32"/>
          <w:shd w:val="clear" w:color="auto" w:fill="FFFFFF"/>
          <w:lang w:eastAsia="zh-CN"/>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eastAsia="zh-CN"/>
        </w:rPr>
        <w:t>The competition is open for global innovative startups and teams (individuals). The specific requirements are as follows:</w:t>
      </w:r>
    </w:p>
    <w:p w14:paraId="2C0366CD">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3" w:firstLineChars="200"/>
        <w:jc w:val="both"/>
        <w:textAlignment w:val="auto"/>
        <w:outlineLvl w:val="9"/>
        <w:rPr>
          <w:rFonts w:hint="default" w:ascii="Times New Roman" w:hAnsi="Times New Roman" w:eastAsia="宋体" w:cs="Times New Roman"/>
          <w:b/>
          <w:bCs/>
          <w:sz w:val="32"/>
          <w:szCs w:val="32"/>
          <w:shd w:val="clear" w:color="auto" w:fill="FFFFFF"/>
        </w:rPr>
      </w:pPr>
      <w:r>
        <w:rPr>
          <w:rFonts w:hint="default" w:ascii="Times New Roman" w:hAnsi="Times New Roman" w:eastAsia="宋体" w:cs="Times New Roman"/>
          <w:b/>
          <w:bCs/>
          <w:sz w:val="32"/>
          <w:szCs w:val="32"/>
          <w:shd w:val="clear" w:color="auto" w:fill="FFFFFF"/>
          <w:lang w:eastAsia="zh-CN"/>
        </w:rPr>
        <w:t>（一）</w:t>
      </w:r>
      <w:r>
        <w:rPr>
          <w:rFonts w:hint="default" w:ascii="Times New Roman" w:hAnsi="Times New Roman" w:eastAsia="宋体" w:cs="Times New Roman"/>
          <w:b/>
          <w:bCs/>
          <w:sz w:val="32"/>
          <w:szCs w:val="32"/>
          <w:shd w:val="clear" w:color="auto" w:fill="FFFFFF"/>
        </w:rPr>
        <w:t>企业参赛条件</w:t>
      </w:r>
    </w:p>
    <w:p w14:paraId="611B1D4B">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3" w:firstLineChars="200"/>
        <w:jc w:val="both"/>
        <w:textAlignment w:val="auto"/>
        <w:outlineLvl w:val="9"/>
        <w:rPr>
          <w:rFonts w:hint="default" w:ascii="Times New Roman" w:hAnsi="Times New Roman" w:eastAsia="宋体" w:cs="Times New Roman"/>
          <w:b/>
          <w:bCs/>
          <w:sz w:val="32"/>
          <w:szCs w:val="32"/>
          <w:shd w:val="clear" w:color="auto" w:fill="FFFFFF"/>
        </w:rPr>
      </w:pPr>
      <w:r>
        <w:rPr>
          <w:rFonts w:hint="default" w:ascii="Times New Roman" w:hAnsi="Times New Roman" w:eastAsia="宋体" w:cs="Times New Roman"/>
          <w:b/>
          <w:bCs/>
          <w:i w:val="0"/>
          <w:iCs w:val="0"/>
          <w:color w:val="000000"/>
          <w:sz w:val="32"/>
          <w:szCs w:val="32"/>
          <w:highlight w:val="none"/>
          <w:shd w:val="clear" w:color="auto" w:fill="FFFFFF"/>
          <w:vertAlign w:val="baseline"/>
          <w:lang w:eastAsia="zh-CN"/>
        </w:rPr>
        <w:t>1. Enterprise participation requirements</w:t>
      </w:r>
    </w:p>
    <w:p w14:paraId="7C4DBA04">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rPr>
        <w:t>1. 具有独立法人资格，经营规范、社会信誉良好、无不良记录，拥有自主知识产权且无产权纠纷。</w:t>
      </w:r>
    </w:p>
    <w:p w14:paraId="34DC3AED">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rPr>
        <w:t>1) Be an independent legal entity with standardized operations, good social reputation, no negative records, and possessing independent intellectual property rights without ownership disputes.</w:t>
      </w:r>
    </w:p>
    <w:p w14:paraId="4C69A854">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lang w:val="en-US" w:eastAsia="zh-CN"/>
        </w:rPr>
        <w:t xml:space="preserve">2. </w:t>
      </w:r>
      <w:r>
        <w:rPr>
          <w:rFonts w:hint="default" w:ascii="Times New Roman" w:hAnsi="Times New Roman" w:eastAsia="宋体" w:cs="Times New Roman"/>
          <w:sz w:val="32"/>
          <w:szCs w:val="32"/>
          <w:shd w:val="clear" w:color="auto" w:fill="FFFFFF"/>
        </w:rPr>
        <w:t>参赛项目的产品、技术或相关专利归参赛者所有，因侵权产生的责任由参赛者自行承担。</w:t>
      </w:r>
    </w:p>
    <w:p w14:paraId="72FCC3A7">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2) The products, technologies or related patents of the competition entries are owned by the participating enterprises, who shall bear all liabilities arising from infringement, without ownership disputes.</w:t>
      </w:r>
    </w:p>
    <w:p w14:paraId="4964B053">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lang w:val="en-US" w:eastAsia="zh-CN"/>
        </w:rPr>
        <w:t xml:space="preserve">3. </w:t>
      </w:r>
      <w:r>
        <w:rPr>
          <w:rFonts w:hint="default" w:ascii="Times New Roman" w:hAnsi="Times New Roman" w:eastAsia="宋体" w:cs="Times New Roman"/>
          <w:sz w:val="32"/>
          <w:szCs w:val="32"/>
          <w:shd w:val="clear" w:color="auto" w:fill="FFFFFF"/>
        </w:rPr>
        <w:t>企业（含境外企业）</w:t>
      </w:r>
      <w:r>
        <w:rPr>
          <w:rFonts w:hint="default" w:ascii="Times New Roman" w:hAnsi="Times New Roman" w:eastAsia="宋体" w:cs="Times New Roman"/>
          <w:sz w:val="32"/>
          <w:szCs w:val="32"/>
          <w:shd w:val="clear" w:color="auto" w:fill="FFFFFF"/>
          <w:lang w:eastAsia="zh-CN"/>
        </w:rPr>
        <w:t>须计划</w:t>
      </w:r>
      <w:r>
        <w:rPr>
          <w:rFonts w:hint="default" w:ascii="Times New Roman" w:hAnsi="Times New Roman" w:eastAsia="宋体" w:cs="Times New Roman"/>
          <w:sz w:val="32"/>
          <w:szCs w:val="32"/>
          <w:shd w:val="clear" w:color="auto" w:fill="FFFFFF"/>
        </w:rPr>
        <w:t>在湖南省内注册成立企业，或与湖南省内单位达成实质性合作。</w:t>
      </w:r>
    </w:p>
    <w:p w14:paraId="7DC3E587">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 xml:space="preserve">3) Enterprises (including foreign enterprises) must plan to register and establish companies in Hunan Province or reach substantive cooperation with local companies </w:t>
      </w:r>
      <w:r>
        <w:rPr>
          <w:rFonts w:hint="eastAsia" w:cs="Times New Roman"/>
          <w:b w:val="0"/>
          <w:bCs w:val="0"/>
          <w:i w:val="0"/>
          <w:iCs w:val="0"/>
          <w:color w:val="000000"/>
          <w:sz w:val="32"/>
          <w:szCs w:val="32"/>
          <w:highlight w:val="none"/>
          <w:shd w:val="clear" w:color="auto" w:fill="FFFFFF"/>
          <w:vertAlign w:val="baseline"/>
          <w:lang w:val="en-US" w:eastAsia="zh-CN"/>
        </w:rPr>
        <w:t xml:space="preserve">rooted </w:t>
      </w: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in Hunan Province.</w:t>
      </w:r>
    </w:p>
    <w:p w14:paraId="18711692">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lang w:val="en-US" w:eastAsia="zh-CN"/>
        </w:rPr>
        <w:t xml:space="preserve">4. </w:t>
      </w:r>
      <w:r>
        <w:rPr>
          <w:rFonts w:hint="default" w:ascii="Times New Roman" w:hAnsi="Times New Roman" w:eastAsia="宋体" w:cs="Times New Roman"/>
          <w:sz w:val="32"/>
          <w:szCs w:val="32"/>
          <w:shd w:val="clear" w:color="auto" w:fill="FFFFFF"/>
        </w:rPr>
        <w:t>省内参赛企业所报项目如已参加往届湖南省创新创业大赛并获奖，或计划参加2026年湖南省（国际）创新创业大赛其他赛事的，不得重复报名。</w:t>
      </w:r>
    </w:p>
    <w:p w14:paraId="55D21B87">
      <w:pPr>
        <w:keepNext w:val="0"/>
        <w:keepLines w:val="0"/>
        <w:pageBreakBefore w:val="0"/>
        <w:widowControl w:val="0"/>
        <w:kinsoku/>
        <w:wordWrap/>
        <w:overflowPunct/>
        <w:topLinePunct w:val="0"/>
        <w:autoSpaceDE/>
        <w:autoSpaceDN/>
        <w:bidi w:val="0"/>
        <w:adjustRightInd/>
        <w:snapToGrid/>
        <w:spacing w:after="0" w:line="600" w:lineRule="exact"/>
        <w:ind w:left="0" w:leftChars="0" w:right="0" w:rightChars="0" w:firstLine="640"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4) Projects submitted by provincial participating enterprises that have previously participated in and won awards in past Hunan Innovation and Entrepreneurship Competitions, or plan to participate in other events of the 2026 Hunan (International) Innovation and Entrepreneurship Competition, are not eligible for duplicate registration.</w:t>
      </w:r>
    </w:p>
    <w:p w14:paraId="1E0EDB37">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3"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bCs/>
          <w:sz w:val="32"/>
          <w:szCs w:val="32"/>
          <w:shd w:val="clear" w:color="auto" w:fill="FFFFFF"/>
          <w:lang w:eastAsia="zh-CN"/>
        </w:rPr>
        <w:t>（二）</w:t>
      </w:r>
      <w:r>
        <w:rPr>
          <w:rFonts w:hint="default" w:ascii="Times New Roman" w:hAnsi="Times New Roman" w:eastAsia="宋体" w:cs="Times New Roman"/>
          <w:b/>
          <w:bCs/>
          <w:sz w:val="32"/>
          <w:szCs w:val="32"/>
          <w:shd w:val="clear" w:color="auto" w:fill="FFFFFF"/>
        </w:rPr>
        <w:t>团队</w:t>
      </w:r>
      <w:r>
        <w:rPr>
          <w:rFonts w:hint="default" w:ascii="Times New Roman" w:hAnsi="Times New Roman" w:eastAsia="宋体" w:cs="Times New Roman"/>
          <w:b/>
          <w:bCs/>
          <w:sz w:val="32"/>
          <w:szCs w:val="32"/>
          <w:shd w:val="clear" w:color="auto" w:fill="FFFFFF"/>
          <w:lang w:eastAsia="zh-CN"/>
        </w:rPr>
        <w:t>（个人）</w:t>
      </w:r>
      <w:r>
        <w:rPr>
          <w:rFonts w:hint="default" w:ascii="Times New Roman" w:hAnsi="Times New Roman" w:eastAsia="宋体" w:cs="Times New Roman"/>
          <w:b/>
          <w:bCs/>
          <w:sz w:val="32"/>
          <w:szCs w:val="32"/>
          <w:shd w:val="clear" w:color="auto" w:fill="FFFFFF"/>
        </w:rPr>
        <w:t>参赛条件</w:t>
      </w:r>
    </w:p>
    <w:p w14:paraId="2C9D0655">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3" w:firstLineChars="200"/>
        <w:jc w:val="both"/>
        <w:textAlignment w:val="auto"/>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bCs/>
          <w:i w:val="0"/>
          <w:iCs w:val="0"/>
          <w:color w:val="000000"/>
          <w:sz w:val="32"/>
          <w:szCs w:val="32"/>
          <w:highlight w:val="none"/>
          <w:shd w:val="clear" w:color="auto" w:fill="FFFFFF"/>
          <w:vertAlign w:val="baseline"/>
          <w:lang w:eastAsia="zh-CN"/>
        </w:rPr>
        <w:t>2. Team (Individual) participation requirements</w:t>
      </w:r>
    </w:p>
    <w:p w14:paraId="366B7390">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rPr>
        <w:t>1. 拥有创新成果和创业计划的高层次创业团队</w:t>
      </w:r>
      <w:r>
        <w:rPr>
          <w:rFonts w:hint="default" w:ascii="Times New Roman" w:hAnsi="Times New Roman" w:eastAsia="宋体" w:cs="Times New Roman"/>
          <w:b w:val="0"/>
          <w:bCs w:val="0"/>
          <w:sz w:val="32"/>
          <w:szCs w:val="32"/>
          <w:shd w:val="clear" w:color="auto" w:fill="FFFFFF"/>
          <w:lang w:eastAsia="zh-CN"/>
        </w:rPr>
        <w:t>（个人）</w:t>
      </w:r>
      <w:r>
        <w:rPr>
          <w:rFonts w:hint="default" w:ascii="Times New Roman" w:hAnsi="Times New Roman" w:eastAsia="宋体" w:cs="Times New Roman"/>
          <w:sz w:val="32"/>
          <w:szCs w:val="32"/>
          <w:shd w:val="clear" w:color="auto" w:fill="FFFFFF"/>
          <w:lang w:val="en-US" w:eastAsia="zh-CN"/>
        </w:rPr>
        <w:t>。</w:t>
      </w:r>
    </w:p>
    <w:p w14:paraId="2A87D497">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rPr>
        <w:t>1) High-level entrepreneurial teams (individuals) with innovative achievements and business plans.</w:t>
      </w:r>
    </w:p>
    <w:p w14:paraId="04171081">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rPr>
        <w:t>2. 参赛项目的产品、技术或相关专利归属参赛</w:t>
      </w:r>
      <w:r>
        <w:rPr>
          <w:rFonts w:hint="default" w:ascii="Times New Roman" w:hAnsi="Times New Roman" w:eastAsia="宋体" w:cs="Times New Roman"/>
          <w:sz w:val="32"/>
          <w:szCs w:val="32"/>
          <w:shd w:val="clear" w:color="auto" w:fill="FFFFFF"/>
          <w:lang w:eastAsia="zh-CN"/>
        </w:rPr>
        <w:t>团队</w:t>
      </w:r>
      <w:r>
        <w:rPr>
          <w:rFonts w:hint="default" w:ascii="Times New Roman" w:hAnsi="Times New Roman" w:eastAsia="宋体" w:cs="Times New Roman"/>
          <w:b w:val="0"/>
          <w:bCs w:val="0"/>
          <w:sz w:val="32"/>
          <w:szCs w:val="32"/>
          <w:shd w:val="clear" w:color="auto" w:fill="FFFFFF"/>
          <w:lang w:eastAsia="zh-CN"/>
        </w:rPr>
        <w:t>（个人）</w:t>
      </w:r>
      <w:r>
        <w:rPr>
          <w:rFonts w:hint="default" w:ascii="Times New Roman" w:hAnsi="Times New Roman" w:eastAsia="宋体" w:cs="Times New Roman"/>
          <w:sz w:val="32"/>
          <w:szCs w:val="32"/>
          <w:shd w:val="clear" w:color="auto" w:fill="FFFFFF"/>
          <w:lang w:eastAsia="zh-CN"/>
        </w:rPr>
        <w:t>所有</w:t>
      </w:r>
      <w:r>
        <w:rPr>
          <w:rFonts w:hint="default" w:ascii="Times New Roman" w:hAnsi="Times New Roman" w:eastAsia="宋体" w:cs="Times New Roman"/>
          <w:sz w:val="32"/>
          <w:szCs w:val="32"/>
          <w:shd w:val="clear" w:color="auto" w:fill="FFFFFF"/>
        </w:rPr>
        <w:t>，无产权纠纷，因侵权产生的责任由参赛者</w:t>
      </w:r>
      <w:r>
        <w:rPr>
          <w:rFonts w:hint="default" w:ascii="Times New Roman" w:hAnsi="Times New Roman" w:eastAsia="宋体" w:cs="Times New Roman"/>
          <w:sz w:val="32"/>
          <w:szCs w:val="32"/>
          <w:shd w:val="clear" w:color="auto" w:fill="FFFFFF"/>
          <w:lang w:eastAsia="zh-CN"/>
        </w:rPr>
        <w:t>自行承担</w:t>
      </w:r>
      <w:r>
        <w:rPr>
          <w:rFonts w:hint="default" w:ascii="Times New Roman" w:hAnsi="Times New Roman" w:eastAsia="宋体" w:cs="Times New Roman"/>
          <w:sz w:val="32"/>
          <w:szCs w:val="32"/>
          <w:shd w:val="clear" w:color="auto" w:fill="FFFFFF"/>
        </w:rPr>
        <w:t>。</w:t>
      </w:r>
    </w:p>
    <w:p w14:paraId="124DC8B0">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rPr>
        <w:t>2) The products, technologies, or related patents of the competition entries are owned by the participating teams (individuals) who shall bear all liabilities arising from infringement, without ownership disputes.</w:t>
      </w:r>
    </w:p>
    <w:p w14:paraId="293499DB">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rPr>
        <w:t>3. 省外</w:t>
      </w:r>
      <w:r>
        <w:rPr>
          <w:rFonts w:hint="default" w:ascii="Times New Roman" w:hAnsi="Times New Roman" w:eastAsia="宋体" w:cs="Times New Roman"/>
          <w:sz w:val="32"/>
          <w:szCs w:val="32"/>
          <w:shd w:val="clear" w:color="auto" w:fill="FFFFFF"/>
          <w:lang w:eastAsia="zh-CN"/>
        </w:rPr>
        <w:t>（含境外）</w:t>
      </w:r>
      <w:r>
        <w:rPr>
          <w:rFonts w:hint="default" w:ascii="Times New Roman" w:hAnsi="Times New Roman" w:eastAsia="宋体" w:cs="Times New Roman"/>
          <w:sz w:val="32"/>
          <w:szCs w:val="32"/>
          <w:shd w:val="clear" w:color="auto" w:fill="FFFFFF"/>
        </w:rPr>
        <w:t>参赛团队</w:t>
      </w:r>
      <w:r>
        <w:rPr>
          <w:rFonts w:hint="default" w:ascii="Times New Roman" w:hAnsi="Times New Roman" w:eastAsia="宋体" w:cs="Times New Roman"/>
          <w:b w:val="0"/>
          <w:bCs w:val="0"/>
          <w:sz w:val="32"/>
          <w:szCs w:val="32"/>
          <w:shd w:val="clear" w:color="auto" w:fill="FFFFFF"/>
          <w:lang w:eastAsia="zh-CN"/>
        </w:rPr>
        <w:t>（个人）</w:t>
      </w:r>
      <w:r>
        <w:rPr>
          <w:rFonts w:hint="default" w:ascii="Times New Roman" w:hAnsi="Times New Roman" w:eastAsia="宋体" w:cs="Times New Roman"/>
          <w:sz w:val="32"/>
          <w:szCs w:val="32"/>
          <w:shd w:val="clear" w:color="auto" w:fill="FFFFFF"/>
          <w:lang w:eastAsia="zh-CN"/>
        </w:rPr>
        <w:t>须</w:t>
      </w:r>
      <w:r>
        <w:rPr>
          <w:rFonts w:hint="default" w:ascii="Times New Roman" w:hAnsi="Times New Roman" w:eastAsia="宋体" w:cs="Times New Roman"/>
          <w:sz w:val="32"/>
          <w:szCs w:val="32"/>
          <w:shd w:val="clear" w:color="auto" w:fill="FFFFFF"/>
        </w:rPr>
        <w:t>计划赛后在湖南</w:t>
      </w:r>
      <w:r>
        <w:rPr>
          <w:rFonts w:hint="default" w:ascii="Times New Roman" w:hAnsi="Times New Roman" w:eastAsia="宋体" w:cs="Times New Roman"/>
          <w:sz w:val="32"/>
          <w:szCs w:val="32"/>
          <w:shd w:val="clear" w:color="auto" w:fill="FFFFFF"/>
          <w:lang w:eastAsia="zh-CN"/>
        </w:rPr>
        <w:t>省内</w:t>
      </w:r>
      <w:r>
        <w:rPr>
          <w:rFonts w:hint="default" w:ascii="Times New Roman" w:hAnsi="Times New Roman" w:eastAsia="宋体" w:cs="Times New Roman"/>
          <w:sz w:val="32"/>
          <w:szCs w:val="32"/>
          <w:shd w:val="clear" w:color="auto" w:fill="FFFFFF"/>
        </w:rPr>
        <w:t>注册成立企业</w:t>
      </w:r>
      <w:r>
        <w:rPr>
          <w:rFonts w:hint="default" w:ascii="Times New Roman" w:hAnsi="Times New Roman" w:eastAsia="宋体" w:cs="Times New Roman"/>
          <w:sz w:val="32"/>
          <w:szCs w:val="32"/>
          <w:shd w:val="clear" w:color="auto" w:fill="FFFFFF"/>
          <w:lang w:eastAsia="zh-CN"/>
        </w:rPr>
        <w:t>，</w:t>
      </w:r>
      <w:r>
        <w:rPr>
          <w:rFonts w:hint="default" w:ascii="Times New Roman" w:hAnsi="Times New Roman" w:eastAsia="宋体" w:cs="Times New Roman"/>
          <w:sz w:val="32"/>
          <w:szCs w:val="32"/>
          <w:shd w:val="clear" w:color="auto" w:fill="FFFFFF"/>
        </w:rPr>
        <w:t>或与湖南</w:t>
      </w:r>
      <w:r>
        <w:rPr>
          <w:rFonts w:hint="default" w:ascii="Times New Roman" w:hAnsi="Times New Roman" w:eastAsia="宋体" w:cs="Times New Roman"/>
          <w:sz w:val="32"/>
          <w:szCs w:val="32"/>
          <w:shd w:val="clear" w:color="auto" w:fill="FFFFFF"/>
          <w:lang w:eastAsia="zh-CN"/>
        </w:rPr>
        <w:t>省内单位</w:t>
      </w:r>
      <w:r>
        <w:rPr>
          <w:rFonts w:hint="default" w:ascii="Times New Roman" w:hAnsi="Times New Roman" w:eastAsia="宋体" w:cs="Times New Roman"/>
          <w:sz w:val="32"/>
          <w:szCs w:val="32"/>
          <w:shd w:val="clear" w:color="auto" w:fill="FFFFFF"/>
        </w:rPr>
        <w:t>达成</w:t>
      </w:r>
      <w:r>
        <w:rPr>
          <w:rFonts w:hint="default" w:ascii="Times New Roman" w:hAnsi="Times New Roman" w:eastAsia="宋体" w:cs="Times New Roman"/>
          <w:sz w:val="32"/>
          <w:szCs w:val="32"/>
          <w:shd w:val="clear" w:color="auto" w:fill="FFFFFF"/>
          <w:lang w:eastAsia="zh-CN"/>
        </w:rPr>
        <w:t>实质性</w:t>
      </w:r>
      <w:r>
        <w:rPr>
          <w:rFonts w:hint="default" w:ascii="Times New Roman" w:hAnsi="Times New Roman" w:eastAsia="宋体" w:cs="Times New Roman"/>
          <w:sz w:val="32"/>
          <w:szCs w:val="32"/>
          <w:shd w:val="clear" w:color="auto" w:fill="FFFFFF"/>
        </w:rPr>
        <w:t>合作。</w:t>
      </w:r>
    </w:p>
    <w:p w14:paraId="24686134">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rPr>
        <w:t>3) Participating teams (individuals) from outside the province (including overseas) must plan to register and establish companies in Hunan Province after the competition or reach substantive cooperation with local companies in Hunan Province.</w:t>
      </w:r>
    </w:p>
    <w:p w14:paraId="7F03C5EE">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sz w:val="32"/>
          <w:szCs w:val="32"/>
          <w:shd w:val="clear" w:color="auto" w:fill="FFFFFF"/>
        </w:rPr>
        <w:t>4. 省内参赛团队所报项目如已参加往届湖南省创新创业大赛并获奖，或所在企业计划参加2026年湖南省（国际）创新创业大赛其他赛事的，不得重复报名。</w:t>
      </w:r>
    </w:p>
    <w:p w14:paraId="69BEAD13">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rPr>
        <w:t>4) Projects submitted by provincial participating teams that have previously participated in and won awards in previous Hunan Innovation and Entrepreneurship Competitions, or whose enterprises plan to participate in other events of the 2026 Hunan (International) Innovation and Entrepreneurship Competition, are not eligible for duplicate registration.</w:t>
      </w:r>
    </w:p>
    <w:p w14:paraId="32BA521E">
      <w:pPr>
        <w:keepNext w:val="0"/>
        <w:keepLines w:val="0"/>
        <w:pageBreakBefore w:val="0"/>
        <w:widowControl w:val="0"/>
        <w:wordWrap/>
        <w:overflowPunct/>
        <w:topLinePunct w:val="0"/>
        <w:bidi w:val="0"/>
        <w:spacing w:after="0" w:line="560" w:lineRule="exact"/>
        <w:ind w:left="0" w:leftChars="0" w:right="0" w:rightChars="0" w:firstLine="643" w:firstLineChars="200"/>
        <w:jc w:val="both"/>
        <w:outlineLvl w:val="9"/>
        <w:rPr>
          <w:rFonts w:hint="default" w:ascii="Times New Roman" w:hAnsi="Times New Roman" w:eastAsia="宋体" w:cs="Times New Roman"/>
          <w:b/>
          <w:bCs/>
          <w:sz w:val="32"/>
          <w:szCs w:val="32"/>
          <w:shd w:val="clear" w:color="auto" w:fill="FFFFFF"/>
          <w:lang w:eastAsia="zh-CN"/>
        </w:rPr>
      </w:pPr>
      <w:r>
        <w:rPr>
          <w:rFonts w:hint="default" w:ascii="Times New Roman" w:hAnsi="Times New Roman" w:eastAsia="宋体" w:cs="Times New Roman"/>
          <w:b/>
          <w:bCs/>
          <w:sz w:val="32"/>
          <w:szCs w:val="32"/>
          <w:shd w:val="clear" w:color="auto" w:fill="FFFFFF"/>
          <w:lang w:eastAsia="zh-CN"/>
        </w:rPr>
        <w:t>（三）其他要求</w:t>
      </w:r>
    </w:p>
    <w:p w14:paraId="2FBBBC86">
      <w:pPr>
        <w:keepNext w:val="0"/>
        <w:keepLines w:val="0"/>
        <w:pageBreakBefore w:val="0"/>
        <w:widowControl w:val="0"/>
        <w:wordWrap/>
        <w:overflowPunct/>
        <w:topLinePunct w:val="0"/>
        <w:bidi w:val="0"/>
        <w:spacing w:after="0" w:line="560" w:lineRule="exact"/>
        <w:ind w:left="0" w:leftChars="0" w:right="0" w:rightChars="0" w:firstLine="643" w:firstLineChars="200"/>
        <w:jc w:val="both"/>
        <w:outlineLvl w:val="9"/>
        <w:rPr>
          <w:rFonts w:hint="default" w:ascii="Times New Roman" w:hAnsi="Times New Roman" w:eastAsia="宋体" w:cs="Times New Roman"/>
          <w:b/>
          <w:bCs/>
          <w:sz w:val="32"/>
          <w:szCs w:val="32"/>
          <w:shd w:val="clear" w:color="auto" w:fill="FFFFFF"/>
          <w:lang w:eastAsia="zh-CN"/>
        </w:rPr>
      </w:pPr>
      <w:r>
        <w:rPr>
          <w:rFonts w:hint="default" w:ascii="Times New Roman" w:hAnsi="Times New Roman" w:eastAsia="宋体" w:cs="Times New Roman"/>
          <w:b/>
          <w:bCs/>
          <w:i w:val="0"/>
          <w:iCs w:val="0"/>
          <w:color w:val="000000"/>
          <w:sz w:val="32"/>
          <w:szCs w:val="32"/>
          <w:highlight w:val="none"/>
          <w:shd w:val="clear" w:color="auto" w:fill="FFFFFF"/>
          <w:vertAlign w:val="baseline"/>
          <w:lang w:eastAsia="zh-CN"/>
        </w:rPr>
        <w:t>3. Other requirements</w:t>
      </w:r>
    </w:p>
    <w:p w14:paraId="0BCD3D9F">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lang w:eastAsia="zh-CN"/>
        </w:rPr>
      </w:pPr>
      <w:r>
        <w:rPr>
          <w:rFonts w:hint="default" w:ascii="Times New Roman" w:hAnsi="Times New Roman" w:eastAsia="宋体" w:cs="Times New Roman"/>
          <w:sz w:val="32"/>
          <w:szCs w:val="32"/>
          <w:shd w:val="clear" w:color="auto" w:fill="FFFFFF"/>
          <w:lang w:val="en-US" w:eastAsia="zh-CN"/>
        </w:rPr>
        <w:t>所有参赛材料和现场答辩原则上使用中文或英文。</w:t>
      </w:r>
    </w:p>
    <w:p w14:paraId="504AAEF3">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z w:val="32"/>
          <w:szCs w:val="32"/>
          <w:shd w:val="clear" w:color="auto" w:fill="FFFFFF"/>
          <w:lang w:eastAsia="zh-CN"/>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In principle, all competition materials and on-site presentations must be in Chinese or English.</w:t>
      </w:r>
    </w:p>
    <w:p w14:paraId="4D0ABE73">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b w:val="0"/>
          <w:bCs w:val="0"/>
          <w:sz w:val="32"/>
          <w:szCs w:val="32"/>
          <w:shd w:val="clear" w:color="auto" w:fill="FFFFFF"/>
          <w:lang w:val="en-US" w:eastAsia="zh-CN"/>
        </w:rPr>
      </w:pPr>
      <w:r>
        <w:rPr>
          <w:rFonts w:hint="default" w:ascii="Times New Roman" w:hAnsi="Times New Roman" w:eastAsia="宋体" w:cs="Times New Roman"/>
          <w:sz w:val="32"/>
          <w:szCs w:val="32"/>
          <w:lang w:eastAsia="zh-CN"/>
        </w:rPr>
        <w:t>三</w:t>
      </w:r>
      <w:r>
        <w:rPr>
          <w:rFonts w:hint="default" w:ascii="Times New Roman" w:hAnsi="Times New Roman" w:eastAsia="宋体" w:cs="Times New Roman"/>
          <w:sz w:val="32"/>
          <w:szCs w:val="32"/>
        </w:rPr>
        <w:t>、赛事流程</w:t>
      </w:r>
    </w:p>
    <w:p w14:paraId="3E3FF28B">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b w:val="0"/>
          <w:bCs w:val="0"/>
          <w:sz w:val="32"/>
          <w:szCs w:val="32"/>
          <w:shd w:val="clear" w:color="auto" w:fill="FFFFFF"/>
          <w:lang w:val="en-US" w:eastAsia="zh-CN"/>
        </w:rPr>
      </w:pPr>
      <w:r>
        <w:rPr>
          <w:rFonts w:hint="default" w:ascii="Times New Roman" w:hAnsi="Times New Roman" w:eastAsia="宋体" w:cs="Times New Roman"/>
          <w:b w:val="0"/>
          <w:bCs w:val="0"/>
          <w:i w:val="0"/>
          <w:iCs w:val="0"/>
          <w:color w:val="000000"/>
          <w:sz w:val="32"/>
          <w:szCs w:val="32"/>
          <w:highlight w:val="none"/>
          <w:vertAlign w:val="baseline"/>
          <w:lang w:eastAsia="zh-CN"/>
        </w:rPr>
        <w:t>III. Competition agenda</w:t>
      </w:r>
    </w:p>
    <w:p w14:paraId="11530519">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b w:val="0"/>
          <w:bCs w:val="0"/>
          <w:sz w:val="32"/>
          <w:szCs w:val="32"/>
          <w:shd w:val="clear" w:color="auto" w:fill="FFFFFF"/>
          <w:lang w:val="en-US" w:eastAsia="zh-CN"/>
        </w:rPr>
      </w:pPr>
      <w:r>
        <w:rPr>
          <w:rFonts w:hint="default" w:ascii="Times New Roman" w:hAnsi="Times New Roman" w:eastAsia="宋体" w:cs="Times New Roman"/>
          <w:b w:val="0"/>
          <w:bCs w:val="0"/>
          <w:sz w:val="32"/>
          <w:szCs w:val="32"/>
          <w:shd w:val="clear" w:color="auto" w:fill="FFFFFF"/>
          <w:lang w:val="en-US" w:eastAsia="zh-CN"/>
        </w:rPr>
        <w:t>大赛分为参赛报名、形式审查、初赛、半决赛、决赛及颁奖仪式等环节。</w:t>
      </w:r>
    </w:p>
    <w:p w14:paraId="4A7663EC">
      <w:pPr>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b w:val="0"/>
          <w:bCs w:val="0"/>
          <w:sz w:val="32"/>
          <w:szCs w:val="32"/>
          <w:shd w:val="clear" w:color="auto" w:fill="FFFFFF"/>
          <w:lang w:val="en-US" w:eastAsia="zh-CN"/>
        </w:rPr>
      </w:pPr>
      <w:r>
        <w:rPr>
          <w:rFonts w:hint="default" w:ascii="Times New Roman" w:hAnsi="Times New Roman" w:eastAsia="宋体" w:cs="Times New Roman"/>
          <w:b w:val="0"/>
          <w:bCs w:val="0"/>
          <w:i w:val="0"/>
          <w:iCs w:val="0"/>
          <w:color w:val="000000"/>
          <w:sz w:val="32"/>
          <w:szCs w:val="32"/>
          <w:highlight w:val="none"/>
          <w:shd w:val="clear" w:color="auto" w:fill="FFFFFF"/>
          <w:vertAlign w:val="baseline"/>
          <w:lang w:val="en-US" w:eastAsia="zh-CN"/>
        </w:rPr>
        <w:t>The competition consists of registration, formal review, preliminary round, semifinals, finals, and the award ceremony.</w:t>
      </w:r>
    </w:p>
    <w:p w14:paraId="30B6CD68">
      <w:pPr>
        <w:keepNext w:val="0"/>
        <w:keepLines w:val="0"/>
        <w:pageBreakBefore w:val="0"/>
        <w:widowControl w:val="0"/>
        <w:wordWrap/>
        <w:overflowPunct/>
        <w:topLinePunct w:val="0"/>
        <w:bidi w:val="0"/>
        <w:spacing w:after="0" w:line="560" w:lineRule="exact"/>
        <w:ind w:left="0" w:leftChars="0" w:right="0" w:rightChars="0" w:firstLine="643" w:firstLineChars="200"/>
        <w:jc w:val="both"/>
        <w:outlineLvl w:val="9"/>
        <w:rPr>
          <w:rFonts w:hint="default" w:ascii="Times New Roman" w:hAnsi="Times New Roman" w:eastAsia="宋体" w:cs="Times New Roman"/>
          <w:sz w:val="32"/>
          <w:szCs w:val="32"/>
        </w:rPr>
      </w:pPr>
      <w:r>
        <w:rPr>
          <w:rFonts w:hint="default" w:ascii="Times New Roman" w:hAnsi="Times New Roman" w:eastAsia="宋体" w:cs="Times New Roman"/>
          <w:b/>
          <w:bCs/>
          <w:sz w:val="32"/>
          <w:szCs w:val="32"/>
        </w:rPr>
        <w:t>（一）参赛报名</w:t>
      </w:r>
    </w:p>
    <w:p w14:paraId="1C6A4D4A">
      <w:pPr>
        <w:keepNext w:val="0"/>
        <w:keepLines w:val="0"/>
        <w:pageBreakBefore w:val="0"/>
        <w:widowControl w:val="0"/>
        <w:wordWrap/>
        <w:overflowPunct/>
        <w:topLinePunct w:val="0"/>
        <w:bidi w:val="0"/>
        <w:spacing w:after="0" w:line="560" w:lineRule="exact"/>
        <w:ind w:left="0" w:leftChars="0" w:right="0" w:rightChars="0" w:firstLine="643" w:firstLineChars="200"/>
        <w:jc w:val="both"/>
        <w:outlineLvl w:val="9"/>
        <w:rPr>
          <w:rFonts w:hint="default" w:ascii="Times New Roman" w:hAnsi="Times New Roman" w:eastAsia="宋体" w:cs="Times New Roman"/>
          <w:sz w:val="32"/>
          <w:szCs w:val="32"/>
        </w:rPr>
      </w:pPr>
      <w:r>
        <w:rPr>
          <w:rFonts w:hint="default" w:ascii="Times New Roman" w:hAnsi="Times New Roman" w:eastAsia="宋体" w:cs="Times New Roman"/>
          <w:b/>
          <w:bCs/>
          <w:i w:val="0"/>
          <w:iCs w:val="0"/>
          <w:color w:val="000000"/>
          <w:sz w:val="32"/>
          <w:szCs w:val="32"/>
          <w:highlight w:val="none"/>
          <w:vertAlign w:val="baseline"/>
        </w:rPr>
        <w:t>1. Registration</w:t>
      </w:r>
    </w:p>
    <w:p w14:paraId="3DA84AB8">
      <w:pPr>
        <w:pStyle w:val="4"/>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snapToGrid/>
          <w:color w:val="auto"/>
          <w:sz w:val="32"/>
          <w:szCs w:val="32"/>
          <w:lang w:eastAsia="zh-CN"/>
        </w:rPr>
        <w:t>自评符合参赛条件的企业或团队通过湖南省科学技术厅官网（https://kjt.hunan.gov.cn）登录“</w:t>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"http://61.187.87.50/main/" \l "/login" </w:instrText>
      </w:r>
      <w:r>
        <w:rPr>
          <w:rFonts w:hint="default" w:ascii="Times New Roman" w:hAnsi="Times New Roman" w:eastAsia="宋体" w:cs="Times New Roman"/>
        </w:rPr>
        <w:fldChar w:fldCharType="separate"/>
      </w:r>
      <w:r>
        <w:rPr>
          <w:rFonts w:hint="default" w:ascii="Times New Roman" w:hAnsi="Times New Roman" w:eastAsia="宋体" w:cs="Times New Roman"/>
          <w:snapToGrid/>
          <w:color w:val="auto"/>
          <w:sz w:val="32"/>
          <w:szCs w:val="32"/>
          <w:lang w:eastAsia="zh-CN"/>
        </w:rPr>
        <w:t>湖南科技云平台</w:t>
      </w:r>
      <w:r>
        <w:rPr>
          <w:rFonts w:hint="default" w:ascii="Times New Roman" w:hAnsi="Times New Roman" w:eastAsia="宋体" w:cs="Times New Roman"/>
          <w:snapToGrid/>
          <w:color w:val="auto"/>
          <w:sz w:val="32"/>
          <w:szCs w:val="32"/>
          <w:lang w:eastAsia="zh-CN"/>
        </w:rPr>
        <w:fldChar w:fldCharType="end"/>
      </w:r>
      <w:r>
        <w:rPr>
          <w:rFonts w:hint="default" w:ascii="Times New Roman" w:hAnsi="Times New Roman" w:eastAsia="宋体" w:cs="Times New Roman"/>
          <w:snapToGrid/>
          <w:color w:val="auto"/>
          <w:sz w:val="32"/>
          <w:szCs w:val="32"/>
          <w:lang w:eastAsia="zh-CN"/>
        </w:rPr>
        <w:t>”，进入“科技项目管理系统－项目申报－湖南创新型省份建设专项－数智视听技术全球创新创业大赛”栏目在线填报，并对所填信息的准确性和真实性负责。不需要提交纸质申报材料。</w:t>
      </w:r>
    </w:p>
    <w:p w14:paraId="2C6F38E1">
      <w:pPr>
        <w:pStyle w:val="4"/>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b w:val="0"/>
          <w:bCs w:val="0"/>
          <w:i w:val="0"/>
          <w:iCs w:val="0"/>
          <w:snapToGrid/>
          <w:color w:val="000000"/>
          <w:sz w:val="32"/>
          <w:szCs w:val="32"/>
          <w:highlight w:val="none"/>
          <w:vertAlign w:val="baseline"/>
          <w:lang w:eastAsia="zh-CN"/>
        </w:rPr>
        <w:t xml:space="preserve">Enterprises or teams </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who consider themselves e</w:t>
      </w:r>
      <w:r>
        <w:rPr>
          <w:rFonts w:hint="default" w:ascii="Times New Roman" w:hAnsi="Times New Roman" w:eastAsia="宋体" w:cs="Times New Roman"/>
          <w:b w:val="0"/>
          <w:bCs w:val="0"/>
          <w:i w:val="0"/>
          <w:iCs w:val="0"/>
          <w:snapToGrid/>
          <w:color w:val="000000"/>
          <w:sz w:val="32"/>
          <w:szCs w:val="32"/>
          <w:highlight w:val="none"/>
          <w:vertAlign w:val="baseline"/>
          <w:lang w:eastAsia="zh-CN"/>
        </w:rPr>
        <w:t>ligib</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 xml:space="preserve">le </w:t>
      </w:r>
      <w:r>
        <w:rPr>
          <w:rFonts w:hint="default" w:ascii="Times New Roman" w:hAnsi="Times New Roman" w:eastAsia="宋体" w:cs="Times New Roman"/>
          <w:b w:val="0"/>
          <w:bCs w:val="0"/>
          <w:i w:val="0"/>
          <w:iCs w:val="0"/>
          <w:snapToGrid/>
          <w:color w:val="000000"/>
          <w:sz w:val="32"/>
          <w:szCs w:val="32"/>
          <w:highlight w:val="none"/>
          <w:vertAlign w:val="baseline"/>
          <w:lang w:eastAsia="zh-CN"/>
        </w:rPr>
        <w:t xml:space="preserve">for participation can </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sign up on</w:t>
      </w:r>
      <w:r>
        <w:rPr>
          <w:rFonts w:hint="default" w:ascii="Times New Roman" w:hAnsi="Times New Roman" w:eastAsia="宋体" w:cs="Times New Roman"/>
          <w:b w:val="0"/>
          <w:bCs w:val="0"/>
          <w:i w:val="0"/>
          <w:iCs w:val="0"/>
          <w:snapToGrid/>
          <w:color w:val="000000"/>
          <w:sz w:val="32"/>
          <w:szCs w:val="32"/>
          <w:highlight w:val="none"/>
          <w:vertAlign w:val="baseline"/>
          <w:lang w:eastAsia="zh-CN"/>
        </w:rPr>
        <w:t xml:space="preserve"> Hunan Science and Technology Cloud Platform</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 xml:space="preserve"> through </w:t>
      </w:r>
      <w:r>
        <w:rPr>
          <w:rFonts w:hint="default" w:ascii="Times New Roman" w:hAnsi="Times New Roman" w:eastAsia="宋体" w:cs="Times New Roman"/>
          <w:b w:val="0"/>
          <w:bCs w:val="0"/>
          <w:i w:val="0"/>
          <w:iCs w:val="0"/>
          <w:snapToGrid/>
          <w:color w:val="000000"/>
          <w:sz w:val="32"/>
          <w:szCs w:val="32"/>
          <w:highlight w:val="none"/>
          <w:vertAlign w:val="baseline"/>
          <w:lang w:eastAsia="zh-CN"/>
        </w:rPr>
        <w:t xml:space="preserve">the </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 xml:space="preserve">official </w:t>
      </w:r>
      <w:r>
        <w:rPr>
          <w:rFonts w:hint="default" w:ascii="Times New Roman" w:hAnsi="Times New Roman" w:eastAsia="宋体" w:cs="Times New Roman"/>
          <w:b w:val="0"/>
          <w:bCs w:val="0"/>
          <w:i w:val="0"/>
          <w:iCs w:val="0"/>
          <w:snapToGrid/>
          <w:color w:val="000000"/>
          <w:sz w:val="32"/>
          <w:szCs w:val="32"/>
          <w:highlight w:val="none"/>
          <w:vertAlign w:val="baseline"/>
          <w:lang w:eastAsia="zh-CN"/>
        </w:rPr>
        <w:t>website</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 xml:space="preserve"> </w:t>
      </w:r>
      <w:r>
        <w:rPr>
          <w:rFonts w:hint="default" w:ascii="Times New Roman" w:hAnsi="Times New Roman" w:eastAsia="宋体" w:cs="Times New Roman"/>
          <w:b w:val="0"/>
          <w:bCs w:val="0"/>
          <w:i w:val="0"/>
          <w:iCs w:val="0"/>
          <w:snapToGrid/>
          <w:color w:val="000000"/>
          <w:sz w:val="32"/>
          <w:szCs w:val="32"/>
          <w:highlight w:val="none"/>
          <w:vertAlign w:val="baseline"/>
          <w:lang w:eastAsia="zh-CN"/>
        </w:rPr>
        <w:t>(https://kjt.hunan.gov.cn)</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 xml:space="preserve"> of </w:t>
      </w:r>
      <w:r>
        <w:rPr>
          <w:rFonts w:hint="default" w:ascii="Times New Roman" w:hAnsi="Times New Roman" w:eastAsia="宋体" w:cs="Times New Roman"/>
          <w:b w:val="0"/>
          <w:bCs w:val="0"/>
          <w:i w:val="0"/>
          <w:iCs w:val="0"/>
          <w:snapToGrid/>
          <w:color w:val="000000"/>
          <w:sz w:val="32"/>
          <w:szCs w:val="32"/>
          <w:highlight w:val="none"/>
          <w:vertAlign w:val="baseline"/>
          <w:lang w:eastAsia="zh-CN"/>
        </w:rPr>
        <w:t>Department of Science and Technology</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 xml:space="preserve"> of </w:t>
      </w:r>
      <w:r>
        <w:rPr>
          <w:rFonts w:hint="default" w:ascii="Times New Roman" w:hAnsi="Times New Roman" w:eastAsia="宋体" w:cs="Times New Roman"/>
          <w:b w:val="0"/>
          <w:bCs w:val="0"/>
          <w:i w:val="0"/>
          <w:iCs w:val="0"/>
          <w:snapToGrid/>
          <w:color w:val="000000"/>
          <w:sz w:val="32"/>
          <w:szCs w:val="32"/>
          <w:highlight w:val="none"/>
          <w:vertAlign w:val="baseline"/>
          <w:lang w:eastAsia="zh-CN"/>
        </w:rPr>
        <w:t>Hunan Provinc</w:t>
      </w:r>
      <w:r>
        <w:rPr>
          <w:rFonts w:hint="eastAsia" w:ascii="Times New Roman" w:hAnsi="Times New Roman" w:eastAsia="宋体" w:cs="Times New Roman"/>
          <w:b w:val="0"/>
          <w:bCs w:val="0"/>
          <w:i w:val="0"/>
          <w:iCs w:val="0"/>
          <w:snapToGrid/>
          <w:color w:val="000000"/>
          <w:sz w:val="32"/>
          <w:szCs w:val="32"/>
          <w:highlight w:val="none"/>
          <w:vertAlign w:val="baseline"/>
          <w:lang w:val="en-US" w:eastAsia="zh-CN"/>
        </w:rPr>
        <w:t>e</w:t>
      </w:r>
      <w:r>
        <w:rPr>
          <w:rFonts w:hint="default" w:ascii="Times New Roman" w:hAnsi="Times New Roman" w:eastAsia="宋体" w:cs="Times New Roman"/>
          <w:b w:val="0"/>
          <w:bCs w:val="0"/>
          <w:i w:val="0"/>
          <w:iCs w:val="0"/>
          <w:snapToGrid/>
          <w:color w:val="000000"/>
          <w:sz w:val="32"/>
          <w:szCs w:val="32"/>
          <w:highlight w:val="none"/>
          <w:vertAlign w:val="baseline"/>
          <w:lang w:eastAsia="zh-CN"/>
        </w:rPr>
        <w:t>.</w:t>
      </w:r>
      <w:r>
        <w:rPr>
          <w:rFonts w:hint="eastAsia" w:ascii="Times New Roman" w:hAnsi="Times New Roman" w:eastAsia="宋体" w:cs="Times New Roman"/>
          <w:lang w:val="en-US" w:eastAsia="zh-CN"/>
        </w:rPr>
        <w:t xml:space="preserve"> </w:t>
      </w:r>
      <w:r>
        <w:rPr>
          <w:rFonts w:hint="default" w:ascii="Times New Roman" w:hAnsi="Times New Roman" w:eastAsia="宋体" w:cs="Times New Roman"/>
          <w:b w:val="0"/>
          <w:bCs w:val="0"/>
          <w:i w:val="0"/>
          <w:iCs w:val="0"/>
          <w:snapToGrid/>
          <w:color w:val="000000"/>
          <w:sz w:val="32"/>
          <w:szCs w:val="32"/>
          <w:highlight w:val="none"/>
          <w:vertAlign w:val="baseline"/>
          <w:lang w:eastAsia="zh-CN"/>
        </w:rPr>
        <w:t>To submit your application, please go to the "Science and Technology Project Management System - Project Application - Hunan Innovative Province Construction Special Project - Global Innovation and Entrepreneurship Competition for Digital Audiovisual Technology" section to fill in the form online, and be responsible for the accuracy and authenticity of the information you fill in. No paper application materials are required.</w:t>
      </w:r>
    </w:p>
    <w:p w14:paraId="5BDD8D16">
      <w:pPr>
        <w:pStyle w:val="4"/>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snapToGrid/>
          <w:color w:val="auto"/>
          <w:sz w:val="32"/>
          <w:szCs w:val="32"/>
          <w:lang w:eastAsia="zh-CN"/>
        </w:rPr>
        <w:t>报名截止时间：2026年6月</w:t>
      </w:r>
      <w:r>
        <w:rPr>
          <w:rFonts w:hint="default" w:ascii="Times New Roman" w:hAnsi="Times New Roman" w:eastAsia="宋体" w:cs="Times New Roman"/>
          <w:snapToGrid/>
          <w:color w:val="auto"/>
          <w:sz w:val="32"/>
          <w:szCs w:val="32"/>
          <w:lang w:val="en-US" w:eastAsia="zh-CN"/>
        </w:rPr>
        <w:t>30</w:t>
      </w:r>
      <w:r>
        <w:rPr>
          <w:rFonts w:hint="default" w:ascii="Times New Roman" w:hAnsi="Times New Roman" w:eastAsia="宋体" w:cs="Times New Roman"/>
          <w:snapToGrid/>
          <w:color w:val="auto"/>
          <w:sz w:val="32"/>
          <w:szCs w:val="32"/>
          <w:lang w:eastAsia="zh-CN"/>
        </w:rPr>
        <w:t>日</w:t>
      </w:r>
    </w:p>
    <w:p w14:paraId="34607C48">
      <w:pPr>
        <w:pStyle w:val="4"/>
        <w:keepNext w:val="0"/>
        <w:keepLines w:val="0"/>
        <w:pageBreakBefore w:val="0"/>
        <w:widowControl w:val="0"/>
        <w:wordWrap/>
        <w:overflowPunct/>
        <w:topLinePunct w:val="0"/>
        <w:bidi w:val="0"/>
        <w:spacing w:after="0" w:line="56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b w:val="0"/>
          <w:bCs w:val="0"/>
          <w:i w:val="0"/>
          <w:iCs w:val="0"/>
          <w:snapToGrid/>
          <w:color w:val="000000"/>
          <w:sz w:val="32"/>
          <w:szCs w:val="32"/>
          <w:highlight w:val="none"/>
          <w:vertAlign w:val="baseline"/>
          <w:lang w:eastAsia="zh-CN"/>
        </w:rPr>
        <w:t>Registration deadline: June 30, 2026</w:t>
      </w:r>
    </w:p>
    <w:p w14:paraId="72C1157B">
      <w:pPr>
        <w:pStyle w:val="8"/>
        <w:keepNext w:val="0"/>
        <w:keepLines w:val="0"/>
        <w:pageBreakBefore w:val="0"/>
        <w:widowControl w:val="0"/>
        <w:wordWrap/>
        <w:overflowPunct/>
        <w:topLinePunct w:val="0"/>
        <w:bidi w:val="0"/>
        <w:spacing w:after="0" w:line="560" w:lineRule="exact"/>
        <w:ind w:left="0" w:leftChars="0" w:right="0" w:rightChars="0" w:firstLine="643" w:firstLineChars="200"/>
        <w:jc w:val="both"/>
        <w:outlineLvl w:val="9"/>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（二）形式审查</w:t>
      </w:r>
    </w:p>
    <w:p w14:paraId="60EE2E7F">
      <w:pPr>
        <w:pStyle w:val="8"/>
        <w:keepNext w:val="0"/>
        <w:keepLines w:val="0"/>
        <w:pageBreakBefore w:val="0"/>
        <w:widowControl w:val="0"/>
        <w:wordWrap/>
        <w:overflowPunct/>
        <w:topLinePunct w:val="0"/>
        <w:bidi w:val="0"/>
        <w:spacing w:after="0" w:line="560" w:lineRule="exact"/>
        <w:ind w:left="0" w:leftChars="0" w:right="0" w:rightChars="0" w:firstLine="643" w:firstLineChars="200"/>
        <w:jc w:val="both"/>
        <w:outlineLvl w:val="9"/>
        <w:rPr>
          <w:rFonts w:hint="default" w:ascii="Times New Roman" w:hAnsi="Times New Roman" w:eastAsia="宋体" w:cs="Times New Roman"/>
          <w:b/>
          <w:bCs/>
          <w:sz w:val="32"/>
          <w:szCs w:val="32"/>
        </w:rPr>
      </w:pPr>
      <w:r>
        <w:rPr>
          <w:rFonts w:hint="default" w:ascii="Times New Roman" w:hAnsi="Times New Roman" w:eastAsia="宋体" w:cs="Times New Roman"/>
          <w:b/>
          <w:bCs/>
          <w:i w:val="0"/>
          <w:iCs w:val="0"/>
          <w:color w:val="000000"/>
          <w:sz w:val="32"/>
          <w:szCs w:val="32"/>
          <w:highlight w:val="none"/>
          <w:vertAlign w:val="baseline"/>
        </w:rPr>
        <w:t>2. Formal review</w:t>
      </w:r>
    </w:p>
    <w:p w14:paraId="2DF4469A">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snapToGrid/>
          <w:color w:val="auto"/>
          <w:sz w:val="32"/>
          <w:szCs w:val="32"/>
          <w:lang w:val="en-US" w:eastAsia="zh-CN"/>
        </w:rPr>
        <w:t>联合中国广播电视社会组织联合会技术专业委员会及第三方机构，对报名项目的技术领域匹配性、资料完整性与真实性进行审查。</w:t>
      </w:r>
    </w:p>
    <w:p w14:paraId="5225E523">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b w:val="0"/>
          <w:bCs w:val="0"/>
          <w:i w:val="0"/>
          <w:iCs w:val="0"/>
          <w:snapToGrid/>
          <w:color w:val="000000"/>
          <w:sz w:val="32"/>
          <w:szCs w:val="32"/>
          <w:highlight w:val="none"/>
          <w:vertAlign w:val="baseline"/>
          <w:lang w:val="en-US" w:eastAsia="zh-CN"/>
        </w:rPr>
        <w:t>In collaboration with the Technical Professional Committee of the China Federation of Radio and Television Associations and third-party institutions, the submitted projects are to be reviewed in technical field alignment, data completeness and authenticity.</w:t>
      </w:r>
    </w:p>
    <w:p w14:paraId="121FA917">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snapToGrid/>
          <w:color w:val="auto"/>
          <w:sz w:val="32"/>
          <w:szCs w:val="32"/>
          <w:lang w:eastAsia="zh-CN"/>
        </w:rPr>
        <w:t>形式审查截止时间：2026年</w:t>
      </w:r>
      <w:r>
        <w:rPr>
          <w:rFonts w:hint="default" w:ascii="Times New Roman" w:hAnsi="Times New Roman" w:eastAsia="宋体" w:cs="Times New Roman"/>
          <w:snapToGrid/>
          <w:color w:val="auto"/>
          <w:sz w:val="32"/>
          <w:szCs w:val="32"/>
          <w:lang w:val="en-US" w:eastAsia="zh-CN"/>
        </w:rPr>
        <w:t>7</w:t>
      </w:r>
      <w:r>
        <w:rPr>
          <w:rFonts w:hint="default" w:ascii="Times New Roman" w:hAnsi="Times New Roman" w:eastAsia="宋体" w:cs="Times New Roman"/>
          <w:snapToGrid/>
          <w:color w:val="auto"/>
          <w:sz w:val="32"/>
          <w:szCs w:val="32"/>
          <w:lang w:eastAsia="zh-CN"/>
        </w:rPr>
        <w:t>月</w:t>
      </w:r>
      <w:r>
        <w:rPr>
          <w:rFonts w:hint="default" w:ascii="Times New Roman" w:hAnsi="Times New Roman" w:eastAsia="宋体" w:cs="Times New Roman"/>
          <w:snapToGrid/>
          <w:color w:val="auto"/>
          <w:sz w:val="32"/>
          <w:szCs w:val="32"/>
          <w:lang w:val="en-US" w:eastAsia="zh-CN"/>
        </w:rPr>
        <w:t>10日</w:t>
      </w:r>
    </w:p>
    <w:p w14:paraId="6555C81F">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lang w:eastAsia="zh-CN"/>
        </w:rPr>
      </w:pPr>
      <w:r>
        <w:rPr>
          <w:rFonts w:hint="default" w:ascii="Times New Roman" w:hAnsi="Times New Roman" w:eastAsia="宋体" w:cs="Times New Roman"/>
          <w:b w:val="0"/>
          <w:bCs w:val="0"/>
          <w:i w:val="0"/>
          <w:iCs w:val="0"/>
          <w:snapToGrid/>
          <w:color w:val="000000"/>
          <w:sz w:val="32"/>
          <w:szCs w:val="32"/>
          <w:highlight w:val="none"/>
          <w:vertAlign w:val="baseline"/>
          <w:lang w:eastAsia="zh-CN"/>
        </w:rPr>
        <w:t>Deadline for Formal Review: July 10, 2026</w:t>
      </w:r>
    </w:p>
    <w:p w14:paraId="747504EB">
      <w:pPr>
        <w:pStyle w:val="8"/>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b/>
          <w:bCs/>
          <w:sz w:val="32"/>
          <w:szCs w:val="32"/>
        </w:rPr>
      </w:pPr>
      <w:r>
        <w:rPr>
          <w:rFonts w:hint="default" w:ascii="Times New Roman" w:hAnsi="Times New Roman" w:eastAsia="宋体" w:cs="Times New Roman"/>
          <w:b/>
          <w:bCs/>
          <w:sz w:val="32"/>
          <w:szCs w:val="32"/>
        </w:rPr>
        <w:t>（三）初赛</w:t>
      </w:r>
    </w:p>
    <w:p w14:paraId="4CF7C6E3">
      <w:pPr>
        <w:pStyle w:val="8"/>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b/>
          <w:bCs/>
          <w:sz w:val="32"/>
          <w:szCs w:val="32"/>
        </w:rPr>
      </w:pPr>
      <w:r>
        <w:rPr>
          <w:rFonts w:hint="default" w:ascii="Times New Roman" w:hAnsi="Times New Roman" w:eastAsia="宋体" w:cs="Times New Roman"/>
          <w:b/>
          <w:bCs/>
          <w:i w:val="0"/>
          <w:iCs w:val="0"/>
          <w:color w:val="000000"/>
          <w:sz w:val="32"/>
          <w:szCs w:val="32"/>
          <w:highlight w:val="none"/>
          <w:vertAlign w:val="baseline"/>
        </w:rPr>
        <w:t>3. Preliminary round</w:t>
      </w:r>
    </w:p>
    <w:p w14:paraId="09D87427">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u w:val="none"/>
          <w:lang w:val="en-US" w:eastAsia="zh-CN"/>
        </w:rPr>
      </w:pPr>
      <w:r>
        <w:rPr>
          <w:rFonts w:hint="default" w:ascii="Times New Roman" w:hAnsi="Times New Roman" w:eastAsia="宋体" w:cs="Times New Roman"/>
          <w:snapToGrid/>
          <w:color w:val="auto"/>
          <w:sz w:val="32"/>
          <w:szCs w:val="32"/>
          <w:u w:val="none"/>
          <w:lang w:val="en-US" w:eastAsia="zh-CN"/>
        </w:rPr>
        <w:t>采用通讯评审方式，取前60个项目晋级半决赛。境外项目晋级比例原则上与境外项目参赛数量占该赛事报名参赛总数的比例大致相当，并根据实际分数及排名顺延递补。</w:t>
      </w:r>
    </w:p>
    <w:p w14:paraId="6A95011A">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b w:val="0"/>
          <w:bCs w:val="0"/>
          <w:i w:val="0"/>
          <w:iCs w:val="0"/>
          <w:snapToGrid/>
          <w:color w:val="000000"/>
          <w:sz w:val="32"/>
          <w:szCs w:val="32"/>
          <w:highlight w:val="none"/>
          <w:u w:val="none"/>
          <w:vertAlign w:val="baseline"/>
          <w:lang w:val="en-US" w:eastAsia="zh-CN"/>
        </w:rPr>
      </w:pPr>
      <w:r>
        <w:rPr>
          <w:rFonts w:hint="default" w:ascii="Times New Roman" w:hAnsi="Times New Roman" w:eastAsia="宋体" w:cs="Times New Roman"/>
          <w:b w:val="0"/>
          <w:bCs w:val="0"/>
          <w:i w:val="0"/>
          <w:iCs w:val="0"/>
          <w:snapToGrid/>
          <w:color w:val="000000"/>
          <w:sz w:val="32"/>
          <w:szCs w:val="32"/>
          <w:highlight w:val="none"/>
          <w:u w:val="none"/>
          <w:vertAlign w:val="baseline"/>
          <w:lang w:val="en-US" w:eastAsia="zh-CN"/>
        </w:rPr>
        <w:t>Through a remote review method, the top 60 projects are to be selected out to advance to the semifinal. The advancement ratio for overseas projects should generally align with their proportion of total competition entries, with</w:t>
      </w:r>
      <w:r>
        <w:rPr>
          <w:rFonts w:hint="eastAsia" w:ascii="Times New Roman" w:hAnsi="Times New Roman" w:eastAsia="宋体" w:cs="Times New Roman"/>
          <w:b w:val="0"/>
          <w:bCs w:val="0"/>
          <w:i w:val="0"/>
          <w:iCs w:val="0"/>
          <w:snapToGrid/>
          <w:color w:val="000000"/>
          <w:sz w:val="32"/>
          <w:szCs w:val="32"/>
          <w:highlight w:val="none"/>
          <w:u w:val="none"/>
          <w:vertAlign w:val="baseline"/>
          <w:lang w:val="en-US" w:eastAsia="zh-CN"/>
        </w:rPr>
        <w:t xml:space="preserve"> </w:t>
      </w:r>
      <w:r>
        <w:rPr>
          <w:rFonts w:hint="default" w:ascii="Times New Roman" w:hAnsi="Times New Roman" w:eastAsia="宋体" w:cs="Times New Roman"/>
          <w:b w:val="0"/>
          <w:bCs w:val="0"/>
          <w:i w:val="0"/>
          <w:iCs w:val="0"/>
          <w:snapToGrid/>
          <w:color w:val="000000"/>
          <w:sz w:val="32"/>
          <w:szCs w:val="32"/>
          <w:highlight w:val="none"/>
          <w:u w:val="none"/>
          <w:vertAlign w:val="baseline"/>
          <w:lang w:val="en-US" w:eastAsia="zh-CN"/>
        </w:rPr>
        <w:t>successive replacement</w:t>
      </w:r>
      <w:r>
        <w:rPr>
          <w:rFonts w:hint="default" w:ascii="Times New Roman" w:hAnsi="Times New Roman" w:eastAsia="宋体" w:cs="Times New Roman"/>
          <w:b w:val="0"/>
          <w:bCs w:val="0"/>
          <w:i w:val="0"/>
          <w:iCs w:val="0"/>
          <w:snapToGrid/>
          <w:color w:val="000000"/>
          <w:sz w:val="32"/>
          <w:szCs w:val="32"/>
          <w:highlight w:val="none"/>
          <w:u w:val="none"/>
          <w:vertAlign w:val="baseline"/>
          <w:lang w:val="en-US" w:eastAsia="zh-CN"/>
        </w:rPr>
        <w:t xml:space="preserve"> based on actual scores and rankings</w:t>
      </w:r>
      <w:r>
        <w:rPr>
          <w:rFonts w:hint="eastAsia" w:ascii="Times New Roman" w:hAnsi="Times New Roman" w:eastAsia="宋体" w:cs="Times New Roman"/>
          <w:b w:val="0"/>
          <w:bCs w:val="0"/>
          <w:i w:val="0"/>
          <w:iCs w:val="0"/>
          <w:snapToGrid/>
          <w:color w:val="000000"/>
          <w:sz w:val="32"/>
          <w:szCs w:val="32"/>
          <w:highlight w:val="none"/>
          <w:u w:val="none"/>
          <w:vertAlign w:val="baseline"/>
          <w:lang w:val="en-US" w:eastAsia="zh-CN"/>
        </w:rPr>
        <w:t xml:space="preserve"> if necessary</w:t>
      </w:r>
      <w:r>
        <w:rPr>
          <w:rFonts w:hint="default" w:ascii="Times New Roman" w:hAnsi="Times New Roman" w:eastAsia="宋体" w:cs="Times New Roman"/>
          <w:b w:val="0"/>
          <w:bCs w:val="0"/>
          <w:i w:val="0"/>
          <w:iCs w:val="0"/>
          <w:snapToGrid/>
          <w:color w:val="000000"/>
          <w:sz w:val="32"/>
          <w:szCs w:val="32"/>
          <w:highlight w:val="none"/>
          <w:u w:val="none"/>
          <w:vertAlign w:val="baseline"/>
          <w:lang w:val="en-US" w:eastAsia="zh-CN"/>
        </w:rPr>
        <w:t>.</w:t>
      </w:r>
    </w:p>
    <w:p w14:paraId="0D3434D1">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u w:val="none"/>
          <w:lang w:eastAsia="zh-CN"/>
        </w:rPr>
      </w:pPr>
      <w:r>
        <w:rPr>
          <w:rFonts w:hint="default" w:ascii="Times New Roman" w:hAnsi="Times New Roman" w:eastAsia="宋体" w:cs="Times New Roman"/>
          <w:snapToGrid/>
          <w:color w:val="auto"/>
          <w:sz w:val="32"/>
          <w:szCs w:val="32"/>
          <w:u w:val="none"/>
          <w:lang w:eastAsia="zh-CN"/>
        </w:rPr>
        <w:t>初赛时间：2026年7月上旬</w:t>
      </w:r>
    </w:p>
    <w:p w14:paraId="148D57C3">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napToGrid/>
          <w:color w:val="auto"/>
          <w:sz w:val="32"/>
          <w:szCs w:val="32"/>
          <w:u w:val="none"/>
          <w:lang w:eastAsia="zh-CN"/>
        </w:rPr>
      </w:pPr>
      <w:r>
        <w:rPr>
          <w:rFonts w:hint="default" w:ascii="Times New Roman" w:hAnsi="Times New Roman" w:eastAsia="宋体" w:cs="Times New Roman"/>
          <w:b w:val="0"/>
          <w:bCs w:val="0"/>
          <w:i w:val="0"/>
          <w:iCs w:val="0"/>
          <w:snapToGrid/>
          <w:color w:val="000000"/>
          <w:sz w:val="32"/>
          <w:szCs w:val="32"/>
          <w:highlight w:val="none"/>
          <w:u w:val="none"/>
          <w:vertAlign w:val="baseline"/>
          <w:lang w:eastAsia="zh-CN"/>
        </w:rPr>
        <w:t>Preliminary round date: early July 2026</w:t>
      </w:r>
    </w:p>
    <w:p w14:paraId="4A507D15">
      <w:pPr>
        <w:pStyle w:val="8"/>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b/>
          <w:bCs/>
          <w:sz w:val="32"/>
          <w:szCs w:val="32"/>
          <w:u w:val="none"/>
        </w:rPr>
      </w:pPr>
      <w:r>
        <w:rPr>
          <w:rFonts w:hint="default" w:ascii="Times New Roman" w:hAnsi="Times New Roman" w:eastAsia="宋体" w:cs="Times New Roman"/>
          <w:b/>
          <w:bCs/>
          <w:sz w:val="32"/>
          <w:szCs w:val="32"/>
          <w:u w:val="none"/>
        </w:rPr>
        <w:t>（四）半决赛</w:t>
      </w:r>
    </w:p>
    <w:p w14:paraId="378F45DB">
      <w:pPr>
        <w:pStyle w:val="8"/>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b/>
          <w:bCs/>
          <w:sz w:val="32"/>
          <w:szCs w:val="32"/>
          <w:u w:val="none"/>
        </w:rPr>
      </w:pPr>
      <w:r>
        <w:rPr>
          <w:rFonts w:hint="default" w:ascii="Times New Roman" w:hAnsi="Times New Roman" w:eastAsia="宋体" w:cs="Times New Roman"/>
          <w:b/>
          <w:bCs/>
          <w:i w:val="0"/>
          <w:iCs w:val="0"/>
          <w:color w:val="000000"/>
          <w:sz w:val="32"/>
          <w:szCs w:val="32"/>
          <w:highlight w:val="none"/>
          <w:u w:val="none"/>
          <w:vertAlign w:val="baseline"/>
        </w:rPr>
        <w:t>4. Semifinals</w:t>
      </w:r>
    </w:p>
    <w:p w14:paraId="6E31F78B">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z w:val="32"/>
          <w:szCs w:val="32"/>
          <w:highlight w:val="none"/>
          <w:u w:val="none"/>
          <w:shd w:val="clear" w:color="auto" w:fill="FFFFFF"/>
          <w:lang w:val="en-US" w:eastAsia="zh-CN"/>
        </w:rPr>
      </w:pPr>
      <w:r>
        <w:rPr>
          <w:rFonts w:hint="default" w:ascii="Times New Roman" w:hAnsi="Times New Roman" w:eastAsia="宋体" w:cs="Times New Roman"/>
          <w:snapToGrid/>
          <w:color w:val="auto"/>
          <w:sz w:val="32"/>
          <w:szCs w:val="32"/>
          <w:u w:val="none"/>
          <w:lang w:eastAsia="zh-CN"/>
        </w:rPr>
        <w:t>采用线上答辩方式，</w:t>
      </w:r>
      <w:r>
        <w:rPr>
          <w:rFonts w:hint="default" w:ascii="Times New Roman" w:hAnsi="Times New Roman" w:eastAsia="宋体" w:cs="Times New Roman"/>
          <w:sz w:val="32"/>
          <w:szCs w:val="32"/>
          <w:highlight w:val="none"/>
          <w:u w:val="none"/>
          <w:shd w:val="clear" w:color="auto" w:fill="FFFFFF"/>
        </w:rPr>
        <w:t>取2</w:t>
      </w:r>
      <w:r>
        <w:rPr>
          <w:rFonts w:hint="default" w:ascii="Times New Roman" w:hAnsi="Times New Roman" w:eastAsia="宋体" w:cs="Times New Roman"/>
          <w:sz w:val="32"/>
          <w:szCs w:val="32"/>
          <w:highlight w:val="none"/>
          <w:u w:val="none"/>
          <w:shd w:val="clear" w:color="auto" w:fill="FFFFFF"/>
          <w:lang w:val="en-US" w:eastAsia="zh-CN"/>
        </w:rPr>
        <w:t>4</w:t>
      </w:r>
      <w:r>
        <w:rPr>
          <w:rFonts w:hint="default" w:ascii="Times New Roman" w:hAnsi="Times New Roman" w:eastAsia="宋体" w:cs="Times New Roman"/>
          <w:sz w:val="32"/>
          <w:szCs w:val="32"/>
          <w:highlight w:val="none"/>
          <w:u w:val="none"/>
          <w:shd w:val="clear" w:color="auto" w:fill="FFFFFF"/>
        </w:rPr>
        <w:t>个项目晋级决赛</w:t>
      </w:r>
      <w:r>
        <w:rPr>
          <w:rFonts w:hint="default" w:ascii="Times New Roman" w:hAnsi="Times New Roman" w:eastAsia="宋体" w:cs="Times New Roman"/>
          <w:sz w:val="32"/>
          <w:szCs w:val="32"/>
          <w:highlight w:val="none"/>
          <w:u w:val="none"/>
          <w:shd w:val="clear" w:color="auto" w:fill="FFFFFF"/>
          <w:lang w:eastAsia="zh-CN"/>
        </w:rPr>
        <w:t>。</w:t>
      </w:r>
      <w:r>
        <w:rPr>
          <w:rFonts w:hint="default" w:ascii="Times New Roman" w:hAnsi="Times New Roman" w:eastAsia="宋体" w:cs="Times New Roman"/>
          <w:sz w:val="32"/>
          <w:szCs w:val="32"/>
          <w:highlight w:val="none"/>
          <w:u w:val="none"/>
          <w:shd w:val="clear" w:color="auto" w:fill="FFFFFF"/>
          <w:lang w:val="en-US" w:eastAsia="zh-CN"/>
        </w:rPr>
        <w:t>境外项目晋级比例原则上与境外项目参赛数量占该赛事报名参赛总数的比例大致相当，并根据实际分数及排名顺延递补。每个项目12分钟（7分钟介绍、5分钟答辩）。评审专家由3名技术专家和2名创投专家组成，评分取5名专家平均分为项目最终得分。</w:t>
      </w:r>
    </w:p>
    <w:p w14:paraId="68704E54">
      <w:pPr>
        <w:pStyle w:val="4"/>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sz w:val="32"/>
          <w:szCs w:val="32"/>
          <w:highlight w:val="none"/>
          <w:u w:val="none"/>
          <w:shd w:val="clear" w:color="auto" w:fill="FFFFFF"/>
          <w:lang w:val="en-US" w:eastAsia="zh-CN"/>
        </w:rPr>
      </w:pPr>
      <w:r>
        <w:rPr>
          <w:rFonts w:hint="default" w:ascii="Times New Roman" w:hAnsi="Times New Roman" w:eastAsia="宋体" w:cs="Times New Roman"/>
          <w:b w:val="0"/>
          <w:bCs w:val="0"/>
          <w:i w:val="0"/>
          <w:iCs w:val="0"/>
          <w:snapToGrid/>
          <w:color w:val="000000"/>
          <w:sz w:val="32"/>
          <w:szCs w:val="32"/>
          <w:highlight w:val="none"/>
          <w:u w:val="none"/>
          <w:vertAlign w:val="baseline"/>
          <w:lang w:eastAsia="zh-CN"/>
        </w:rPr>
        <w:t>The online defense method will be adopted for the semifinals, and the top 24 projects will be selected to advance to the finals.</w:t>
      </w:r>
      <w:r>
        <w:rPr>
          <w:rFonts w:hint="default" w:ascii="Times New Roman" w:hAnsi="Times New Roman" w:eastAsia="宋体" w:cs="Times New Roman"/>
          <w:b w:val="0"/>
          <w:bCs w:val="0"/>
          <w:i w:val="0"/>
          <w:iCs w:val="0"/>
          <w:color w:val="000000"/>
          <w:sz w:val="32"/>
          <w:szCs w:val="32"/>
          <w:highlight w:val="none"/>
          <w:u w:val="none"/>
          <w:shd w:val="clear" w:color="auto" w:fill="FFFFFF"/>
          <w:vertAlign w:val="baseline"/>
          <w:lang w:val="en-US" w:eastAsia="zh-CN"/>
        </w:rPr>
        <w:t xml:space="preserve"> The advancement ratio for overseas projects should generally align with their proportion of total competition entries, with successive replacement</w:t>
      </w:r>
      <w:r>
        <w:rPr>
          <w:rFonts w:hint="default" w:ascii="Times New Roman" w:hAnsi="Times New Roman" w:eastAsia="宋体" w:cs="Times New Roman"/>
          <w:b w:val="0"/>
          <w:bCs w:val="0"/>
          <w:i w:val="0"/>
          <w:iCs w:val="0"/>
          <w:color w:val="000000"/>
          <w:sz w:val="32"/>
          <w:szCs w:val="32"/>
          <w:highlight w:val="none"/>
          <w:u w:val="none"/>
          <w:shd w:val="clear" w:color="auto" w:fill="FFFFFF"/>
          <w:vertAlign w:val="baseline"/>
          <w:lang w:val="en-US" w:eastAsia="zh-CN"/>
        </w:rPr>
        <w:t xml:space="preserve"> based on actual scores and rankings</w:t>
      </w:r>
      <w:r>
        <w:rPr>
          <w:rFonts w:hint="eastAsia" w:ascii="Times New Roman" w:hAnsi="Times New Roman" w:eastAsia="宋体" w:cs="Times New Roman"/>
          <w:b w:val="0"/>
          <w:bCs w:val="0"/>
          <w:i w:val="0"/>
          <w:iCs w:val="0"/>
          <w:color w:val="000000"/>
          <w:sz w:val="32"/>
          <w:szCs w:val="32"/>
          <w:highlight w:val="none"/>
          <w:u w:val="none"/>
          <w:shd w:val="clear" w:color="auto" w:fill="FFFFFF"/>
          <w:vertAlign w:val="baseline"/>
          <w:lang w:val="en-US" w:eastAsia="zh-CN"/>
        </w:rPr>
        <w:t xml:space="preserve"> if necessary</w:t>
      </w:r>
      <w:r>
        <w:rPr>
          <w:rFonts w:hint="default" w:ascii="Times New Roman" w:hAnsi="Times New Roman" w:eastAsia="宋体" w:cs="Times New Roman"/>
          <w:b w:val="0"/>
          <w:bCs w:val="0"/>
          <w:i w:val="0"/>
          <w:iCs w:val="0"/>
          <w:color w:val="000000"/>
          <w:sz w:val="32"/>
          <w:szCs w:val="32"/>
          <w:highlight w:val="none"/>
          <w:u w:val="none"/>
          <w:shd w:val="clear" w:color="auto" w:fill="FFFFFF"/>
          <w:vertAlign w:val="baseline"/>
          <w:lang w:val="en-US" w:eastAsia="zh-CN"/>
        </w:rPr>
        <w:t xml:space="preserve">. </w:t>
      </w:r>
      <w:r>
        <w:rPr>
          <w:rFonts w:hint="eastAsia" w:ascii="Times New Roman" w:hAnsi="Times New Roman" w:eastAsia="宋体" w:cs="Times New Roman"/>
          <w:b w:val="0"/>
          <w:bCs w:val="0"/>
          <w:i w:val="0"/>
          <w:iCs w:val="0"/>
          <w:color w:val="000000"/>
          <w:sz w:val="32"/>
          <w:szCs w:val="32"/>
          <w:highlight w:val="none"/>
          <w:u w:val="none"/>
          <w:shd w:val="clear" w:color="auto" w:fill="FFFFFF"/>
          <w:vertAlign w:val="baseline"/>
          <w:lang w:val="en-US" w:eastAsia="zh-CN"/>
        </w:rPr>
        <w:t xml:space="preserve">Each project will be given </w:t>
      </w:r>
      <w:r>
        <w:rPr>
          <w:rFonts w:hint="default" w:ascii="Times New Roman" w:hAnsi="Times New Roman" w:eastAsia="宋体" w:cs="Times New Roman"/>
          <w:b w:val="0"/>
          <w:bCs w:val="0"/>
          <w:i w:val="0"/>
          <w:iCs w:val="0"/>
          <w:color w:val="000000"/>
          <w:sz w:val="32"/>
          <w:szCs w:val="32"/>
          <w:highlight w:val="none"/>
          <w:u w:val="none"/>
          <w:shd w:val="clear" w:color="auto" w:fill="FFFFFF"/>
          <w:vertAlign w:val="baseline"/>
          <w:lang w:val="en-US" w:eastAsia="zh-CN"/>
        </w:rPr>
        <w:t>12 minutes (7 minutes for presentation and 5 minutes for Q&amp;A). The judging panel consists of 3 technical experts and 2 venture capital experts, with the final score being the average of all 5 experts.</w:t>
      </w:r>
    </w:p>
    <w:p w14:paraId="097A52A2">
      <w:pPr>
        <w:pStyle w:val="4"/>
        <w:spacing w:after="0" w:line="580" w:lineRule="exact"/>
        <w:ind w:firstLine="640" w:firstLineChars="200"/>
        <w:outlineLvl w:val="9"/>
        <w:rPr>
          <w:rFonts w:hint="default" w:ascii="Times New Roman" w:hAnsi="Times New Roman" w:eastAsia="宋体" w:cs="Times New Roman"/>
          <w:lang w:val="en-US" w:eastAsia="zh-CN"/>
        </w:rPr>
      </w:pPr>
      <w:r>
        <w:rPr>
          <w:rFonts w:hint="default" w:ascii="Times New Roman" w:hAnsi="Times New Roman" w:eastAsia="宋体" w:cs="Times New Roman"/>
          <w:snapToGrid/>
          <w:color w:val="auto"/>
          <w:sz w:val="32"/>
          <w:szCs w:val="32"/>
          <w:u w:val="none"/>
          <w:lang w:eastAsia="zh-CN"/>
        </w:rPr>
        <w:t>半决赛时间：2026年7月下旬</w:t>
      </w:r>
    </w:p>
    <w:p w14:paraId="4941001E">
      <w:pPr>
        <w:pStyle w:val="4"/>
        <w:spacing w:after="0" w:line="580" w:lineRule="exact"/>
        <w:ind w:firstLine="640" w:firstLineChars="200"/>
        <w:outlineLvl w:val="9"/>
        <w:rPr>
          <w:rFonts w:hint="default" w:ascii="Times New Roman" w:hAnsi="Times New Roman" w:eastAsia="宋体" w:cs="Times New Roman"/>
          <w:lang w:val="en-US" w:eastAsia="zh-CN"/>
        </w:rPr>
      </w:pPr>
      <w:r>
        <w:rPr>
          <w:rFonts w:hint="default" w:ascii="Times New Roman" w:hAnsi="Times New Roman" w:eastAsia="宋体" w:cs="Times New Roman"/>
          <w:b w:val="0"/>
          <w:bCs w:val="0"/>
          <w:i w:val="0"/>
          <w:iCs w:val="0"/>
          <w:snapToGrid/>
          <w:color w:val="000000"/>
          <w:sz w:val="32"/>
          <w:szCs w:val="32"/>
          <w:highlight w:val="none"/>
          <w:u w:val="none"/>
          <w:vertAlign w:val="baseline"/>
          <w:lang w:eastAsia="zh-CN"/>
        </w:rPr>
        <w:t>Semi-final date: late July 2026</w:t>
      </w:r>
    </w:p>
    <w:p w14:paraId="4924824E">
      <w:pPr>
        <w:pStyle w:val="8"/>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b/>
          <w:bCs/>
          <w:sz w:val="32"/>
          <w:szCs w:val="32"/>
          <w:u w:val="none"/>
        </w:rPr>
      </w:pPr>
      <w:r>
        <w:rPr>
          <w:rFonts w:hint="default" w:ascii="Times New Roman" w:hAnsi="Times New Roman" w:eastAsia="宋体" w:cs="Times New Roman"/>
          <w:b/>
          <w:bCs/>
          <w:sz w:val="32"/>
          <w:szCs w:val="32"/>
          <w:u w:val="none"/>
        </w:rPr>
        <w:t>（五）决赛</w:t>
      </w:r>
    </w:p>
    <w:p w14:paraId="29942D9C">
      <w:pPr>
        <w:pStyle w:val="8"/>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b/>
          <w:bCs/>
          <w:sz w:val="32"/>
          <w:szCs w:val="32"/>
          <w:u w:val="none"/>
        </w:rPr>
      </w:pPr>
      <w:r>
        <w:rPr>
          <w:rFonts w:hint="default" w:ascii="Times New Roman" w:hAnsi="Times New Roman" w:eastAsia="宋体" w:cs="Times New Roman"/>
          <w:b/>
          <w:bCs/>
          <w:i w:val="0"/>
          <w:iCs w:val="0"/>
          <w:color w:val="000000"/>
          <w:sz w:val="32"/>
          <w:szCs w:val="32"/>
          <w:highlight w:val="none"/>
          <w:u w:val="none"/>
          <w:vertAlign w:val="baseline"/>
        </w:rPr>
        <w:t>5. Finals</w:t>
      </w:r>
    </w:p>
    <w:p w14:paraId="32470D0B">
      <w:pPr>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kern w:val="0"/>
          <w:sz w:val="32"/>
          <w:szCs w:val="32"/>
          <w:u w:val="none"/>
        </w:rPr>
      </w:pPr>
      <w:r>
        <w:rPr>
          <w:rFonts w:hint="default" w:ascii="Times New Roman" w:hAnsi="Times New Roman" w:eastAsia="宋体" w:cs="Times New Roman"/>
          <w:kern w:val="0"/>
          <w:sz w:val="32"/>
          <w:szCs w:val="32"/>
          <w:u w:val="none"/>
          <w:lang w:val="en-US" w:eastAsia="zh-CN"/>
        </w:rPr>
        <w:t>采取现场路演方式，每个项目15分钟（8分钟路演、7分钟答辩）。</w:t>
      </w:r>
      <w:r>
        <w:rPr>
          <w:rFonts w:hint="default" w:ascii="Times New Roman" w:hAnsi="Times New Roman" w:eastAsia="宋体" w:cs="Times New Roman"/>
          <w:kern w:val="0"/>
          <w:sz w:val="32"/>
          <w:szCs w:val="32"/>
          <w:u w:val="none"/>
        </w:rPr>
        <w:t>评委由7位专家组成，包含技术专家、创投专家等。评委专家现场打分，采取去掉一个最高分、去掉一个最低分取平均分形式，即时公布成绩。</w:t>
      </w:r>
    </w:p>
    <w:p w14:paraId="330744EF">
      <w:pPr>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kern w:val="0"/>
          <w:sz w:val="32"/>
          <w:szCs w:val="32"/>
          <w:u w:val="none"/>
        </w:rPr>
      </w:pP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 xml:space="preserve">The on-site </w:t>
      </w:r>
      <w:r>
        <w:rPr>
          <w:rFonts w:hint="eastAsia" w:cs="Times New Roman"/>
          <w:b w:val="0"/>
          <w:bCs w:val="0"/>
          <w:i w:val="0"/>
          <w:iCs w:val="0"/>
          <w:color w:val="000000"/>
          <w:kern w:val="0"/>
          <w:sz w:val="32"/>
          <w:szCs w:val="32"/>
          <w:highlight w:val="none"/>
          <w:u w:val="none"/>
          <w:vertAlign w:val="baseline"/>
          <w:lang w:val="en-US" w:eastAsia="zh-CN"/>
        </w:rPr>
        <w:t xml:space="preserve">pitching </w:t>
      </w: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 xml:space="preserve">will be </w:t>
      </w:r>
      <w:r>
        <w:rPr>
          <w:rFonts w:hint="eastAsia" w:cs="Times New Roman"/>
          <w:b w:val="0"/>
          <w:bCs w:val="0"/>
          <w:i w:val="0"/>
          <w:iCs w:val="0"/>
          <w:color w:val="000000"/>
          <w:kern w:val="0"/>
          <w:sz w:val="32"/>
          <w:szCs w:val="32"/>
          <w:highlight w:val="none"/>
          <w:u w:val="none"/>
          <w:vertAlign w:val="baseline"/>
          <w:lang w:val="en-US" w:eastAsia="zh-CN"/>
        </w:rPr>
        <w:t>adopted</w:t>
      </w: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 xml:space="preserve"> for the final</w:t>
      </w:r>
      <w:r>
        <w:rPr>
          <w:rFonts w:hint="eastAsia" w:cs="Times New Roman"/>
          <w:b w:val="0"/>
          <w:bCs w:val="0"/>
          <w:i w:val="0"/>
          <w:iCs w:val="0"/>
          <w:color w:val="000000"/>
          <w:kern w:val="0"/>
          <w:sz w:val="32"/>
          <w:szCs w:val="32"/>
          <w:highlight w:val="none"/>
          <w:u w:val="none"/>
          <w:vertAlign w:val="baseline"/>
          <w:lang w:val="en-US" w:eastAsia="zh-CN"/>
        </w:rPr>
        <w:t>s</w:t>
      </w: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 with each project allocated 15 minutes (8 minutes for presentation and 7 minutes for Q&amp;A).</w:t>
      </w:r>
      <w:r>
        <w:rPr>
          <w:rFonts w:hint="default" w:ascii="Times New Roman" w:hAnsi="Times New Roman" w:eastAsia="宋体" w:cs="Times New Roman"/>
          <w:b w:val="0"/>
          <w:bCs w:val="0"/>
          <w:i w:val="0"/>
          <w:iCs w:val="0"/>
          <w:color w:val="000000"/>
          <w:kern w:val="0"/>
          <w:sz w:val="32"/>
          <w:szCs w:val="32"/>
          <w:highlight w:val="none"/>
          <w:u w:val="none"/>
          <w:vertAlign w:val="baseline"/>
        </w:rPr>
        <w:t xml:space="preserve"> The judging panel consists of 7 experts, including technical experts and venture capital professionals. Judges will score on-site, with the highest and lowest scores discarded before calculating the average score, which will be announced immediately.</w:t>
      </w:r>
    </w:p>
    <w:p w14:paraId="15CA60CC">
      <w:pPr>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kern w:val="0"/>
          <w:sz w:val="32"/>
          <w:szCs w:val="32"/>
          <w:u w:val="none"/>
        </w:rPr>
      </w:pPr>
      <w:r>
        <w:rPr>
          <w:rFonts w:hint="default" w:ascii="Times New Roman" w:hAnsi="Times New Roman" w:eastAsia="宋体" w:cs="Times New Roman"/>
          <w:kern w:val="0"/>
          <w:sz w:val="32"/>
          <w:szCs w:val="32"/>
          <w:u w:val="none"/>
        </w:rPr>
        <w:t>时间：2026年9月，具体时间另行通知。</w:t>
      </w:r>
    </w:p>
    <w:p w14:paraId="369BDDBB">
      <w:pPr>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kern w:val="0"/>
          <w:sz w:val="32"/>
          <w:szCs w:val="32"/>
          <w:u w:val="none"/>
        </w:rPr>
      </w:pPr>
      <w:r>
        <w:rPr>
          <w:rFonts w:hint="default" w:ascii="Times New Roman" w:hAnsi="Times New Roman" w:eastAsia="宋体" w:cs="Times New Roman"/>
          <w:b w:val="0"/>
          <w:bCs w:val="0"/>
          <w:i w:val="0"/>
          <w:iCs w:val="0"/>
          <w:color w:val="000000"/>
          <w:kern w:val="0"/>
          <w:sz w:val="32"/>
          <w:szCs w:val="32"/>
          <w:highlight w:val="none"/>
          <w:u w:val="none"/>
          <w:vertAlign w:val="baseline"/>
        </w:rPr>
        <w:t xml:space="preserve">Date: September 2026, specific </w:t>
      </w:r>
      <w:r>
        <w:rPr>
          <w:rFonts w:hint="eastAsia" w:cs="Times New Roman"/>
          <w:b w:val="0"/>
          <w:bCs w:val="0"/>
          <w:i w:val="0"/>
          <w:iCs w:val="0"/>
          <w:color w:val="000000"/>
          <w:kern w:val="0"/>
          <w:sz w:val="32"/>
          <w:szCs w:val="32"/>
          <w:highlight w:val="none"/>
          <w:u w:val="none"/>
          <w:vertAlign w:val="baseline"/>
          <w:lang w:val="en-US" w:eastAsia="zh-CN"/>
        </w:rPr>
        <w:t xml:space="preserve">date </w:t>
      </w:r>
      <w:r>
        <w:rPr>
          <w:rFonts w:hint="default" w:ascii="Times New Roman" w:hAnsi="Times New Roman" w:eastAsia="宋体" w:cs="Times New Roman"/>
          <w:b w:val="0"/>
          <w:bCs w:val="0"/>
          <w:i w:val="0"/>
          <w:iCs w:val="0"/>
          <w:color w:val="000000"/>
          <w:kern w:val="0"/>
          <w:sz w:val="32"/>
          <w:szCs w:val="32"/>
          <w:highlight w:val="none"/>
          <w:u w:val="none"/>
          <w:vertAlign w:val="baseline"/>
        </w:rPr>
        <w:t>to be announced later.</w:t>
      </w:r>
    </w:p>
    <w:p w14:paraId="0EBF00FC">
      <w:pPr>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sz w:val="36"/>
          <w:szCs w:val="36"/>
          <w:shd w:val="clear" w:color="auto" w:fill="FFFFFF"/>
        </w:rPr>
      </w:pPr>
      <w:r>
        <w:rPr>
          <w:rFonts w:hint="default" w:ascii="Times New Roman" w:hAnsi="Times New Roman" w:eastAsia="宋体" w:cs="Times New Roman"/>
          <w:b/>
          <w:bCs/>
          <w:kern w:val="2"/>
          <w:sz w:val="32"/>
          <w:szCs w:val="32"/>
          <w:lang w:val="en-US" w:eastAsia="zh-CN" w:bidi="ar-SA"/>
        </w:rPr>
        <w:t>（六）颁奖仪式。</w:t>
      </w:r>
      <w:r>
        <w:rPr>
          <w:rFonts w:hint="default" w:ascii="Times New Roman" w:hAnsi="Times New Roman" w:eastAsia="宋体" w:cs="Times New Roman"/>
          <w:kern w:val="0"/>
          <w:sz w:val="32"/>
          <w:szCs w:val="32"/>
        </w:rPr>
        <w:t>决赛结束后次日举行。</w:t>
      </w:r>
    </w:p>
    <w:p w14:paraId="59BC4A30">
      <w:pPr>
        <w:keepNext w:val="0"/>
        <w:keepLines w:val="0"/>
        <w:pageBreakBefore w:val="0"/>
        <w:widowControl w:val="0"/>
        <w:wordWrap/>
        <w:overflowPunct/>
        <w:topLinePunct w:val="0"/>
        <w:bidi w:val="0"/>
        <w:spacing w:after="0" w:line="580" w:lineRule="exact"/>
        <w:ind w:left="0" w:leftChars="0" w:right="0" w:rightChars="0" w:firstLine="643" w:firstLineChars="200"/>
        <w:jc w:val="both"/>
        <w:outlineLvl w:val="9"/>
        <w:rPr>
          <w:rFonts w:hint="default" w:ascii="Times New Roman" w:hAnsi="Times New Roman" w:eastAsia="宋体" w:cs="Times New Roman"/>
          <w:sz w:val="36"/>
          <w:szCs w:val="36"/>
          <w:shd w:val="clear" w:color="auto" w:fill="FFFFFF"/>
        </w:rPr>
      </w:pPr>
      <w:r>
        <w:rPr>
          <w:rFonts w:hint="default" w:ascii="Times New Roman" w:hAnsi="Times New Roman" w:eastAsia="宋体" w:cs="Times New Roman"/>
          <w:b/>
          <w:bCs/>
          <w:i w:val="0"/>
          <w:iCs w:val="0"/>
          <w:color w:val="000000"/>
          <w:kern w:val="2"/>
          <w:sz w:val="32"/>
          <w:szCs w:val="32"/>
          <w:highlight w:val="none"/>
          <w:vertAlign w:val="baseline"/>
          <w:lang w:val="en-US" w:eastAsia="zh-CN" w:bidi="ar-SA"/>
        </w:rPr>
        <w:t>6. Award ceremony.</w:t>
      </w:r>
      <w:r>
        <w:rPr>
          <w:rFonts w:hint="default" w:ascii="Times New Roman" w:hAnsi="Times New Roman" w:eastAsia="宋体" w:cs="Times New Roman"/>
          <w:b w:val="0"/>
          <w:bCs w:val="0"/>
          <w:i w:val="0"/>
          <w:iCs w:val="0"/>
          <w:color w:val="000000"/>
          <w:kern w:val="0"/>
          <w:sz w:val="32"/>
          <w:szCs w:val="32"/>
          <w:highlight w:val="none"/>
          <w:vertAlign w:val="baseline"/>
        </w:rPr>
        <w:t xml:space="preserve"> The day after the finals.</w:t>
      </w:r>
    </w:p>
    <w:p w14:paraId="1B0CBB68">
      <w:pPr>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kern w:val="0"/>
          <w:sz w:val="32"/>
          <w:szCs w:val="32"/>
        </w:rPr>
      </w:pPr>
      <w:r>
        <w:rPr>
          <w:rFonts w:hint="default" w:ascii="Times New Roman" w:hAnsi="Times New Roman" w:eastAsia="宋体" w:cs="Times New Roman"/>
          <w:sz w:val="32"/>
          <w:szCs w:val="32"/>
          <w:lang w:eastAsia="zh-CN"/>
        </w:rPr>
        <w:t>四</w:t>
      </w:r>
      <w:r>
        <w:rPr>
          <w:rFonts w:hint="default" w:ascii="Times New Roman" w:hAnsi="Times New Roman" w:eastAsia="宋体" w:cs="Times New Roman"/>
          <w:sz w:val="32"/>
          <w:szCs w:val="32"/>
        </w:rPr>
        <w:t>、奖项设置</w:t>
      </w:r>
    </w:p>
    <w:p w14:paraId="467F0C29">
      <w:pPr>
        <w:keepNext w:val="0"/>
        <w:keepLines w:val="0"/>
        <w:pageBreakBefore w:val="0"/>
        <w:widowControl w:val="0"/>
        <w:wordWrap/>
        <w:overflowPunct/>
        <w:topLinePunct w:val="0"/>
        <w:bidi w:val="0"/>
        <w:spacing w:after="0" w:line="580" w:lineRule="exact"/>
        <w:ind w:left="0" w:leftChars="0" w:right="0" w:rightChars="0" w:firstLine="640" w:firstLineChars="200"/>
        <w:jc w:val="both"/>
        <w:outlineLvl w:val="9"/>
        <w:rPr>
          <w:rFonts w:hint="default" w:ascii="Times New Roman" w:hAnsi="Times New Roman" w:eastAsia="宋体" w:cs="Times New Roman"/>
          <w:kern w:val="0"/>
          <w:sz w:val="32"/>
          <w:szCs w:val="32"/>
        </w:rPr>
      </w:pPr>
      <w:r>
        <w:rPr>
          <w:rFonts w:hint="default" w:ascii="Times New Roman" w:hAnsi="Times New Roman" w:eastAsia="宋体" w:cs="Times New Roman"/>
          <w:b w:val="0"/>
          <w:bCs w:val="0"/>
          <w:i w:val="0"/>
          <w:iCs w:val="0"/>
          <w:color w:val="000000"/>
          <w:sz w:val="32"/>
          <w:szCs w:val="32"/>
          <w:highlight w:val="none"/>
          <w:vertAlign w:val="baseline"/>
          <w:lang w:eastAsia="zh-CN"/>
        </w:rPr>
        <w:t>IV. Award settings</w:t>
      </w:r>
    </w:p>
    <w:p w14:paraId="4E7C8CE8">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kern w:val="0"/>
          <w:sz w:val="32"/>
          <w:szCs w:val="32"/>
          <w:highlight w:val="none"/>
        </w:rPr>
        <w:t>根据决赛成绩，确定一等奖</w:t>
      </w:r>
      <w:r>
        <w:rPr>
          <w:rFonts w:hint="default" w:ascii="Times New Roman" w:hAnsi="Times New Roman" w:eastAsia="宋体" w:cs="Times New Roman"/>
          <w:kern w:val="0"/>
          <w:sz w:val="32"/>
          <w:szCs w:val="32"/>
          <w:highlight w:val="none"/>
          <w:lang w:val="en-US" w:eastAsia="zh-CN"/>
        </w:rPr>
        <w:t>2</w:t>
      </w:r>
      <w:r>
        <w:rPr>
          <w:rFonts w:hint="default" w:ascii="Times New Roman" w:hAnsi="Times New Roman" w:eastAsia="宋体" w:cs="Times New Roman"/>
          <w:kern w:val="0"/>
          <w:sz w:val="32"/>
          <w:szCs w:val="32"/>
          <w:highlight w:val="none"/>
        </w:rPr>
        <w:t>名、二等奖</w:t>
      </w:r>
      <w:r>
        <w:rPr>
          <w:rFonts w:hint="default" w:ascii="Times New Roman" w:hAnsi="Times New Roman" w:eastAsia="宋体" w:cs="Times New Roman"/>
          <w:kern w:val="0"/>
          <w:sz w:val="32"/>
          <w:szCs w:val="32"/>
          <w:highlight w:val="none"/>
          <w:lang w:val="en-US" w:eastAsia="zh-CN"/>
        </w:rPr>
        <w:t>4</w:t>
      </w:r>
      <w:r>
        <w:rPr>
          <w:rFonts w:hint="default" w:ascii="Times New Roman" w:hAnsi="Times New Roman" w:eastAsia="宋体" w:cs="Times New Roman"/>
          <w:kern w:val="0"/>
          <w:sz w:val="32"/>
          <w:szCs w:val="32"/>
          <w:highlight w:val="none"/>
        </w:rPr>
        <w:t>名和三等奖</w:t>
      </w:r>
      <w:r>
        <w:rPr>
          <w:rFonts w:hint="default" w:ascii="Times New Roman" w:hAnsi="Times New Roman" w:eastAsia="宋体" w:cs="Times New Roman"/>
          <w:kern w:val="0"/>
          <w:sz w:val="32"/>
          <w:szCs w:val="32"/>
          <w:highlight w:val="none"/>
          <w:lang w:val="en-US" w:eastAsia="zh-CN"/>
        </w:rPr>
        <w:t>6</w:t>
      </w:r>
      <w:r>
        <w:rPr>
          <w:rFonts w:hint="default" w:ascii="Times New Roman" w:hAnsi="Times New Roman" w:eastAsia="宋体" w:cs="Times New Roman"/>
          <w:kern w:val="0"/>
          <w:sz w:val="32"/>
          <w:szCs w:val="32"/>
          <w:highlight w:val="none"/>
        </w:rPr>
        <w:t>名，优秀奖</w:t>
      </w:r>
      <w:r>
        <w:rPr>
          <w:rFonts w:hint="default" w:ascii="Times New Roman" w:hAnsi="Times New Roman" w:eastAsia="宋体" w:cs="Times New Roman"/>
          <w:kern w:val="0"/>
          <w:sz w:val="32"/>
          <w:szCs w:val="32"/>
          <w:highlight w:val="none"/>
          <w:lang w:val="en-US" w:eastAsia="zh-CN"/>
        </w:rPr>
        <w:t>8</w:t>
      </w:r>
      <w:r>
        <w:rPr>
          <w:rFonts w:hint="default" w:ascii="Times New Roman" w:hAnsi="Times New Roman" w:eastAsia="宋体" w:cs="Times New Roman"/>
          <w:kern w:val="0"/>
          <w:sz w:val="32"/>
          <w:szCs w:val="32"/>
          <w:highlight w:val="none"/>
        </w:rPr>
        <w:t>名。</w:t>
      </w:r>
      <w:r>
        <w:rPr>
          <w:rFonts w:hint="default" w:ascii="Times New Roman" w:hAnsi="Times New Roman" w:eastAsia="宋体" w:cs="Times New Roman"/>
          <w:color w:val="auto"/>
          <w:kern w:val="0"/>
          <w:sz w:val="32"/>
          <w:szCs w:val="32"/>
          <w:highlight w:val="none"/>
          <w:u w:val="none"/>
          <w:lang w:val="en-US" w:eastAsia="zh-CN"/>
        </w:rPr>
        <w:t>授予境外项目的奖项比例，原则上与境外项目参赛数量占该赛事报名参赛总数的比例大致相当，并根据决赛实际分数及排名顺延递补。</w:t>
      </w:r>
      <w:r>
        <w:rPr>
          <w:rFonts w:hint="default" w:ascii="Times New Roman" w:hAnsi="Times New Roman" w:eastAsia="宋体" w:cs="Times New Roman"/>
          <w:color w:val="auto"/>
          <w:kern w:val="0"/>
          <w:sz w:val="32"/>
          <w:szCs w:val="32"/>
          <w:highlight w:val="none"/>
        </w:rPr>
        <w:t>以奖金方式给予支持，分别为50万元/个、30万元/个、20万元/个、10万元/个。</w:t>
      </w:r>
      <w:r>
        <w:rPr>
          <w:rFonts w:hint="default" w:ascii="Times New Roman" w:hAnsi="Times New Roman" w:eastAsia="宋体" w:cs="Times New Roman"/>
          <w:kern w:val="0"/>
          <w:sz w:val="32"/>
          <w:szCs w:val="32"/>
          <w:highlight w:val="none"/>
        </w:rPr>
        <w:t>后续，</w:t>
      </w:r>
      <w:r>
        <w:rPr>
          <w:rFonts w:hint="default" w:ascii="Times New Roman" w:hAnsi="Times New Roman" w:eastAsia="宋体" w:cs="Times New Roman"/>
          <w:kern w:val="0"/>
          <w:sz w:val="32"/>
          <w:szCs w:val="32"/>
          <w:highlight w:val="none"/>
          <w:lang w:eastAsia="zh-CN"/>
        </w:rPr>
        <w:t>对</w:t>
      </w:r>
      <w:r>
        <w:rPr>
          <w:rFonts w:hint="default" w:ascii="Times New Roman" w:hAnsi="Times New Roman" w:eastAsia="宋体" w:cs="Times New Roman"/>
          <w:kern w:val="0"/>
          <w:sz w:val="32"/>
          <w:szCs w:val="32"/>
          <w:highlight w:val="none"/>
        </w:rPr>
        <w:t>省外</w:t>
      </w:r>
      <w:r>
        <w:rPr>
          <w:rFonts w:hint="default" w:ascii="Times New Roman" w:hAnsi="Times New Roman" w:eastAsia="宋体" w:cs="Times New Roman"/>
          <w:kern w:val="0"/>
          <w:sz w:val="32"/>
          <w:szCs w:val="32"/>
          <w:highlight w:val="none"/>
          <w:lang w:eastAsia="zh-CN"/>
        </w:rPr>
        <w:t>（含境外）</w:t>
      </w:r>
      <w:r>
        <w:rPr>
          <w:rFonts w:hint="default" w:ascii="Times New Roman" w:hAnsi="Times New Roman" w:eastAsia="宋体" w:cs="Times New Roman"/>
          <w:kern w:val="0"/>
          <w:sz w:val="32"/>
          <w:szCs w:val="32"/>
          <w:highlight w:val="none"/>
        </w:rPr>
        <w:t>获奖项目</w:t>
      </w:r>
      <w:r>
        <w:rPr>
          <w:rFonts w:hint="default" w:ascii="Times New Roman" w:hAnsi="Times New Roman" w:eastAsia="宋体" w:cs="Times New Roman"/>
          <w:kern w:val="0"/>
          <w:sz w:val="32"/>
          <w:szCs w:val="32"/>
          <w:highlight w:val="none"/>
          <w:lang w:eastAsia="zh-CN"/>
        </w:rPr>
        <w:t>在</w:t>
      </w:r>
      <w:r>
        <w:rPr>
          <w:rFonts w:hint="default" w:ascii="Times New Roman" w:hAnsi="Times New Roman" w:eastAsia="宋体" w:cs="Times New Roman"/>
          <w:kern w:val="0"/>
          <w:sz w:val="32"/>
          <w:szCs w:val="32"/>
          <w:highlight w:val="none"/>
        </w:rPr>
        <w:t>2年内在湖南省内落地转化的（需在湖南注册成立商事主体并实质运营），</w:t>
      </w:r>
      <w:r>
        <w:rPr>
          <w:rFonts w:hint="default" w:ascii="Times New Roman" w:hAnsi="Times New Roman" w:eastAsia="宋体" w:cs="Times New Roman"/>
          <w:b w:val="0"/>
          <w:bCs w:val="0"/>
          <w:sz w:val="32"/>
          <w:szCs w:val="32"/>
          <w:highlight w:val="none"/>
          <w:lang w:val="en-US" w:eastAsia="zh-CN" w:bidi="ar"/>
        </w:rPr>
        <w:t>按不超过主体赛对应奖项资金总额的标准，给予后续支持（如当年已获省科技创新计划支持项目的除外）。</w:t>
      </w:r>
    </w:p>
    <w:p w14:paraId="7B9C16F3">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default" w:ascii="Times New Roman" w:hAnsi="Times New Roman" w:eastAsia="宋体" w:cs="Times New Roman"/>
          <w:kern w:val="0"/>
          <w:sz w:val="32"/>
          <w:szCs w:val="32"/>
          <w:highlight w:val="none"/>
        </w:rPr>
      </w:pPr>
      <w:r>
        <w:rPr>
          <w:rFonts w:hint="default" w:ascii="Times New Roman" w:hAnsi="Times New Roman" w:eastAsia="宋体" w:cs="Times New Roman"/>
          <w:b w:val="0"/>
          <w:bCs w:val="0"/>
          <w:i w:val="0"/>
          <w:iCs w:val="0"/>
          <w:color w:val="000000"/>
          <w:kern w:val="0"/>
          <w:sz w:val="32"/>
          <w:szCs w:val="32"/>
          <w:highlight w:val="none"/>
          <w:vertAlign w:val="baseline"/>
        </w:rPr>
        <w:t>Based on final results, 2 first prizes, 4 second prizes, 6 third prizes, and 8 excellence awards will be determined.</w:t>
      </w: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 xml:space="preserve"> The proportion of awards granted to overseas projects should generally match their participation rate in the competition, with </w:t>
      </w:r>
      <w:r>
        <w:rPr>
          <w:rFonts w:hint="eastAsia" w:ascii="Times New Roman" w:hAnsi="Times New Roman" w:eastAsia="宋体" w:cs="Times New Roman"/>
          <w:b w:val="0"/>
          <w:bCs w:val="0"/>
          <w:i w:val="0"/>
          <w:iCs w:val="0"/>
          <w:color w:val="000000"/>
          <w:kern w:val="0"/>
          <w:sz w:val="32"/>
          <w:szCs w:val="32"/>
          <w:highlight w:val="none"/>
          <w:u w:val="none"/>
          <w:vertAlign w:val="baseline"/>
          <w:lang w:val="en-US" w:eastAsia="zh-CN"/>
        </w:rPr>
        <w:t xml:space="preserve">any </w:t>
      </w: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successive replacement</w:t>
      </w:r>
      <w:r>
        <w:rPr>
          <w:rFonts w:hint="eastAsia" w:ascii="Times New Roman" w:hAnsi="Times New Roman" w:eastAsia="宋体" w:cs="Times New Roman"/>
          <w:b w:val="0"/>
          <w:bCs w:val="0"/>
          <w:i w:val="0"/>
          <w:iCs w:val="0"/>
          <w:color w:val="000000"/>
          <w:kern w:val="0"/>
          <w:sz w:val="32"/>
          <w:szCs w:val="32"/>
          <w:highlight w:val="none"/>
          <w:u w:val="none"/>
          <w:vertAlign w:val="baseline"/>
          <w:lang w:val="en-US" w:eastAsia="zh-CN"/>
        </w:rPr>
        <w:t xml:space="preserve"> </w:t>
      </w: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adjustments made according to actual scores and rankings</w:t>
      </w:r>
      <w:r>
        <w:rPr>
          <w:rFonts w:hint="eastAsia" w:cs="Times New Roman"/>
          <w:b w:val="0"/>
          <w:bCs w:val="0"/>
          <w:i w:val="0"/>
          <w:iCs w:val="0"/>
          <w:color w:val="000000"/>
          <w:kern w:val="0"/>
          <w:sz w:val="32"/>
          <w:szCs w:val="32"/>
          <w:highlight w:val="none"/>
          <w:u w:val="none"/>
          <w:vertAlign w:val="baseline"/>
          <w:lang w:val="en-US" w:eastAsia="zh-CN"/>
        </w:rPr>
        <w:t xml:space="preserve"> if necessary</w:t>
      </w:r>
      <w:r>
        <w:rPr>
          <w:rFonts w:hint="default" w:ascii="Times New Roman" w:hAnsi="Times New Roman" w:eastAsia="宋体" w:cs="Times New Roman"/>
          <w:b w:val="0"/>
          <w:bCs w:val="0"/>
          <w:i w:val="0"/>
          <w:iCs w:val="0"/>
          <w:color w:val="000000"/>
          <w:kern w:val="0"/>
          <w:sz w:val="32"/>
          <w:szCs w:val="32"/>
          <w:highlight w:val="none"/>
          <w:u w:val="none"/>
          <w:vertAlign w:val="baseline"/>
          <w:lang w:val="en-US" w:eastAsia="zh-CN"/>
        </w:rPr>
        <w:t>.</w:t>
      </w:r>
      <w:r>
        <w:rPr>
          <w:rFonts w:hint="eastAsia" w:cs="Times New Roman"/>
          <w:b w:val="0"/>
          <w:bCs w:val="0"/>
          <w:i w:val="0"/>
          <w:iCs w:val="0"/>
          <w:color w:val="000000"/>
          <w:kern w:val="0"/>
          <w:sz w:val="32"/>
          <w:szCs w:val="32"/>
          <w:highlight w:val="none"/>
          <w:u w:val="none"/>
          <w:vertAlign w:val="baseline"/>
          <w:lang w:val="en-US" w:eastAsia="zh-CN"/>
        </w:rPr>
        <w:t xml:space="preserve"> Prize bonus</w:t>
      </w:r>
      <w:r>
        <w:rPr>
          <w:rFonts w:hint="default" w:ascii="Times New Roman" w:hAnsi="Times New Roman" w:eastAsia="宋体" w:cs="Times New Roman"/>
          <w:b w:val="0"/>
          <w:bCs w:val="0"/>
          <w:i w:val="0"/>
          <w:iCs w:val="0"/>
          <w:color w:val="000000"/>
          <w:kern w:val="0"/>
          <w:sz w:val="32"/>
          <w:szCs w:val="32"/>
          <w:highlight w:val="none"/>
          <w:vertAlign w:val="baseline"/>
        </w:rPr>
        <w:t xml:space="preserve"> will be provided as: ¥500,000 each, ¥300,000 each, ¥200,000 each, and ¥100,000 each, respectively. Subsequently, for award-winning projects from outside the province (including overseas) that are rooted in Hunan Province within 2 years (requiring registration of a business entity and substantive operations in Hunan), follow-up support will be provided with an amount no more than the total bonus amount of the corresponding award in the main competition (excluding projects already supported by the provincial sci-tech innovation plan that year).</w:t>
      </w:r>
    </w:p>
    <w:p w14:paraId="4ECD1A59">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color w:val="auto"/>
          <w:sz w:val="32"/>
          <w:szCs w:val="32"/>
        </w:rPr>
      </w:pPr>
      <w:r>
        <w:rPr>
          <w:rFonts w:hint="default" w:ascii="Times New Roman" w:hAnsi="Times New Roman" w:eastAsia="宋体" w:cs="Times New Roman"/>
          <w:color w:val="auto"/>
          <w:sz w:val="32"/>
          <w:szCs w:val="32"/>
          <w:lang w:eastAsia="zh-CN"/>
        </w:rPr>
        <w:t>五</w:t>
      </w:r>
      <w:r>
        <w:rPr>
          <w:rFonts w:hint="default" w:ascii="Times New Roman" w:hAnsi="Times New Roman" w:eastAsia="宋体" w:cs="Times New Roman"/>
          <w:color w:val="auto"/>
          <w:sz w:val="32"/>
          <w:szCs w:val="32"/>
        </w:rPr>
        <w:t>、配套支持</w:t>
      </w:r>
    </w:p>
    <w:p w14:paraId="13456E1B">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color w:val="auto"/>
          <w:sz w:val="32"/>
          <w:szCs w:val="32"/>
        </w:rPr>
      </w:pPr>
      <w:r>
        <w:rPr>
          <w:rFonts w:hint="default" w:ascii="Times New Roman" w:hAnsi="Times New Roman" w:eastAsia="宋体" w:cs="Times New Roman"/>
          <w:b w:val="0"/>
          <w:bCs w:val="0"/>
          <w:i w:val="0"/>
          <w:iCs w:val="0"/>
          <w:color w:val="000000"/>
          <w:sz w:val="32"/>
          <w:szCs w:val="32"/>
          <w:highlight w:val="none"/>
          <w:vertAlign w:val="baseline"/>
          <w:lang w:eastAsia="zh-CN"/>
        </w:rPr>
        <w:t>V. Supporting measures</w:t>
      </w:r>
    </w:p>
    <w:p w14:paraId="539EB573">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3" w:firstLineChars="200"/>
        <w:jc w:val="both"/>
        <w:textAlignment w:val="auto"/>
        <w:outlineLvl w:val="9"/>
        <w:rPr>
          <w:rFonts w:hint="default" w:ascii="Times New Roman" w:hAnsi="Times New Roman" w:eastAsia="宋体" w:cs="Times New Roman"/>
          <w:b w:val="0"/>
          <w:bCs w:val="0"/>
          <w:color w:val="auto"/>
          <w:kern w:val="0"/>
          <w:sz w:val="32"/>
          <w:szCs w:val="32"/>
          <w:highlight w:val="none"/>
          <w:lang w:val="en-US" w:eastAsia="zh-CN" w:bidi="ar-SA"/>
        </w:rPr>
      </w:pPr>
      <w:r>
        <w:rPr>
          <w:rFonts w:hint="default" w:ascii="Times New Roman" w:hAnsi="Times New Roman" w:eastAsia="宋体" w:cs="Times New Roman"/>
          <w:b/>
          <w:bCs/>
          <w:color w:val="auto"/>
          <w:kern w:val="2"/>
          <w:sz w:val="32"/>
          <w:szCs w:val="32"/>
          <w:lang w:val="en-US" w:eastAsia="zh-CN" w:bidi="ar-SA"/>
        </w:rPr>
        <w:t>（一）落地服务。</w:t>
      </w:r>
      <w:r>
        <w:rPr>
          <w:rFonts w:hint="default" w:ascii="Times New Roman" w:hAnsi="Times New Roman" w:eastAsia="宋体" w:cs="Times New Roman"/>
          <w:b w:val="0"/>
          <w:bCs w:val="0"/>
          <w:color w:val="auto"/>
          <w:kern w:val="0"/>
          <w:sz w:val="32"/>
          <w:szCs w:val="32"/>
          <w:highlight w:val="none"/>
          <w:lang w:val="en-US" w:eastAsia="zh-CN" w:bidi="ar-SA"/>
        </w:rPr>
        <w:t>联动马栏山集团及相关投融资机构，为有意向在湘落地的获奖项目安排专人对接。获奖项目可直接进入马栏山“马驹计划”审定公示程序，享受“一条龙”落地服务。获等次奖项目，一年内可由大赛组委会优先推荐进入湖南省大学生创业投资基金的尽职调查环节，按基金相关规定执行。</w:t>
      </w:r>
    </w:p>
    <w:p w14:paraId="7FBF760D">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3" w:firstLineChars="200"/>
        <w:jc w:val="both"/>
        <w:textAlignment w:val="auto"/>
        <w:outlineLvl w:val="9"/>
        <w:rPr>
          <w:rFonts w:hint="default" w:ascii="Times New Roman" w:hAnsi="Times New Roman" w:eastAsia="宋体" w:cs="Times New Roman"/>
          <w:b w:val="0"/>
          <w:bCs w:val="0"/>
          <w:color w:val="auto"/>
          <w:kern w:val="0"/>
          <w:sz w:val="32"/>
          <w:szCs w:val="32"/>
          <w:highlight w:val="none"/>
          <w:lang w:val="en-US" w:eastAsia="zh-CN" w:bidi="ar-SA"/>
        </w:rPr>
      </w:pPr>
      <w:r>
        <w:rPr>
          <w:rFonts w:hint="default" w:ascii="Times New Roman" w:hAnsi="Times New Roman" w:eastAsia="宋体" w:cs="Times New Roman"/>
          <w:b/>
          <w:bCs/>
          <w:i w:val="0"/>
          <w:iCs w:val="0"/>
          <w:color w:val="000000"/>
          <w:kern w:val="2"/>
          <w:sz w:val="32"/>
          <w:szCs w:val="32"/>
          <w:highlight w:val="none"/>
          <w:vertAlign w:val="baseline"/>
          <w:lang w:val="en-US" w:eastAsia="zh-CN" w:bidi="ar-SA"/>
        </w:rPr>
        <w:t>1. Project implementation services.</w:t>
      </w:r>
      <w:r>
        <w:rPr>
          <w:rFonts w:hint="default" w:ascii="Times New Roman" w:hAnsi="Times New Roman" w:eastAsia="宋体" w:cs="Times New Roman"/>
          <w:b w:val="0"/>
          <w:bCs w:val="0"/>
          <w:i w:val="0"/>
          <w:iCs w:val="0"/>
          <w:color w:val="000000"/>
          <w:kern w:val="0"/>
          <w:sz w:val="32"/>
          <w:szCs w:val="32"/>
          <w:highlight w:val="none"/>
          <w:vertAlign w:val="baseline"/>
          <w:lang w:val="en-US" w:eastAsia="zh-CN" w:bidi="ar-SA"/>
        </w:rPr>
        <w:t xml:space="preserve"> It is to collaborate with Hunan Malanshan Group </w:t>
      </w:r>
      <w:r>
        <w:rPr>
          <w:rFonts w:hint="eastAsia" w:cs="Times New Roman"/>
          <w:b w:val="0"/>
          <w:bCs w:val="0"/>
          <w:i w:val="0"/>
          <w:iCs w:val="0"/>
          <w:color w:val="000000"/>
          <w:kern w:val="0"/>
          <w:sz w:val="32"/>
          <w:szCs w:val="32"/>
          <w:highlight w:val="none"/>
          <w:vertAlign w:val="baseline"/>
          <w:lang w:val="en-US" w:eastAsia="zh-CN" w:bidi="ar-SA"/>
        </w:rPr>
        <w:t xml:space="preserve">Co., Ltd. </w:t>
      </w:r>
      <w:r>
        <w:rPr>
          <w:rFonts w:hint="default" w:ascii="Times New Roman" w:hAnsi="Times New Roman" w:eastAsia="宋体" w:cs="Times New Roman"/>
          <w:b w:val="0"/>
          <w:bCs w:val="0"/>
          <w:i w:val="0"/>
          <w:iCs w:val="0"/>
          <w:color w:val="000000"/>
          <w:kern w:val="0"/>
          <w:sz w:val="32"/>
          <w:szCs w:val="32"/>
          <w:highlight w:val="none"/>
          <w:vertAlign w:val="baseline"/>
          <w:lang w:val="en-US" w:eastAsia="zh-CN" w:bidi="ar-SA"/>
        </w:rPr>
        <w:t>and related investment/financing institutions to arrange dedicated personnel for award-winning projects intending to settle in Hunan. Award-winning projects can directly enter Malanshan Group's "Foal Program" review and public announcement process, enjoying "one-stop" implementation services. Projects winning tiered awards will be prioritized by the competition committee for recommendation to the due diligence phase of Hunan University Student Venture Capital Fund within one year, subject to the fund's regulations.</w:t>
      </w:r>
    </w:p>
    <w:p w14:paraId="32B6FE68">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3" w:firstLineChars="200"/>
        <w:jc w:val="both"/>
        <w:textAlignment w:val="auto"/>
        <w:outlineLvl w:val="9"/>
        <w:rPr>
          <w:rFonts w:hint="default" w:ascii="Times New Roman" w:hAnsi="Times New Roman" w:eastAsia="宋体" w:cs="Times New Roman"/>
          <w:b/>
          <w:bCs/>
          <w:sz w:val="32"/>
          <w:szCs w:val="32"/>
        </w:rPr>
      </w:pPr>
      <w:r>
        <w:rPr>
          <w:rFonts w:hint="default" w:ascii="Times New Roman" w:hAnsi="Times New Roman" w:eastAsia="宋体" w:cs="Times New Roman"/>
          <w:b/>
          <w:bCs/>
          <w:kern w:val="2"/>
          <w:sz w:val="32"/>
          <w:szCs w:val="32"/>
          <w:lang w:val="en-US" w:eastAsia="zh-CN" w:bidi="ar-SA"/>
        </w:rPr>
        <w:t>（二）</w:t>
      </w:r>
      <w:r>
        <w:rPr>
          <w:rFonts w:hint="default" w:ascii="Times New Roman" w:hAnsi="Times New Roman" w:eastAsia="宋体" w:cs="Times New Roman"/>
          <w:b/>
          <w:bCs/>
          <w:sz w:val="32"/>
          <w:szCs w:val="32"/>
        </w:rPr>
        <w:t>赛事全链条服务</w:t>
      </w:r>
    </w:p>
    <w:p w14:paraId="7D71AB6C">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3" w:firstLineChars="200"/>
        <w:jc w:val="both"/>
        <w:textAlignment w:val="auto"/>
        <w:outlineLvl w:val="9"/>
        <w:rPr>
          <w:rFonts w:hint="default" w:ascii="Times New Roman" w:hAnsi="Times New Roman" w:eastAsia="宋体" w:cs="Times New Roman"/>
          <w:b/>
          <w:bCs/>
          <w:sz w:val="32"/>
          <w:szCs w:val="32"/>
        </w:rPr>
      </w:pPr>
      <w:r>
        <w:rPr>
          <w:rFonts w:hint="default" w:ascii="Times New Roman" w:hAnsi="Times New Roman" w:eastAsia="宋体" w:cs="Times New Roman"/>
          <w:b/>
          <w:bCs/>
          <w:i w:val="0"/>
          <w:iCs w:val="0"/>
          <w:color w:val="000000"/>
          <w:kern w:val="2"/>
          <w:sz w:val="32"/>
          <w:szCs w:val="32"/>
          <w:highlight w:val="none"/>
          <w:vertAlign w:val="baseline"/>
          <w:lang w:val="en-US" w:eastAsia="zh-CN" w:bidi="ar-SA"/>
        </w:rPr>
        <w:t>2. Full-chain competition services</w:t>
      </w:r>
    </w:p>
    <w:p w14:paraId="53275F39">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kern w:val="0"/>
          <w:sz w:val="32"/>
          <w:szCs w:val="32"/>
        </w:rPr>
        <w:t>1. 建立赛事优质项目库，加强跟踪服务。</w:t>
      </w:r>
    </w:p>
    <w:p w14:paraId="33C20228">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b w:val="0"/>
          <w:bCs w:val="0"/>
          <w:i w:val="0"/>
          <w:iCs w:val="0"/>
          <w:color w:val="000000"/>
          <w:kern w:val="0"/>
          <w:sz w:val="32"/>
          <w:szCs w:val="32"/>
          <w:highlight w:val="none"/>
          <w:vertAlign w:val="baseline"/>
        </w:rPr>
        <w:t>1) Establish a quality project database for the competition and provide enhanced follow-up services.</w:t>
      </w:r>
    </w:p>
    <w:p w14:paraId="47ED315A">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kern w:val="0"/>
          <w:sz w:val="32"/>
          <w:szCs w:val="32"/>
        </w:rPr>
        <w:t>2. 大赛合作银行择优给予贷款授信支持。</w:t>
      </w:r>
    </w:p>
    <w:p w14:paraId="5DC88890">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b w:val="0"/>
          <w:bCs w:val="0"/>
          <w:i w:val="0"/>
          <w:iCs w:val="0"/>
          <w:color w:val="000000"/>
          <w:kern w:val="0"/>
          <w:sz w:val="32"/>
          <w:szCs w:val="32"/>
          <w:highlight w:val="none"/>
          <w:vertAlign w:val="baseline"/>
        </w:rPr>
        <w:t>2) Partner banks of the competition will selectively provide financial support.</w:t>
      </w:r>
    </w:p>
    <w:p w14:paraId="3A35F264">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kern w:val="0"/>
          <w:sz w:val="32"/>
          <w:szCs w:val="32"/>
        </w:rPr>
        <w:t>3. 择优推荐给大赛合作投资基金、创投机构。</w:t>
      </w:r>
    </w:p>
    <w:p w14:paraId="6BA2A68F">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b w:val="0"/>
          <w:bCs w:val="0"/>
          <w:i w:val="0"/>
          <w:iCs w:val="0"/>
          <w:color w:val="000000"/>
          <w:kern w:val="0"/>
          <w:sz w:val="32"/>
          <w:szCs w:val="32"/>
          <w:highlight w:val="none"/>
          <w:vertAlign w:val="baseline"/>
        </w:rPr>
        <w:t>3) Recommended selectively to the investment funds and venture capital institutions which serve as partners of the Competition.</w:t>
      </w:r>
    </w:p>
    <w:p w14:paraId="61BD3F83">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kern w:val="0"/>
          <w:sz w:val="32"/>
          <w:szCs w:val="32"/>
        </w:rPr>
        <w:t>4. 择优推荐给大赛合作媒体进行宣传报道。</w:t>
      </w:r>
    </w:p>
    <w:p w14:paraId="64F0B0AC">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b w:val="0"/>
          <w:bCs w:val="0"/>
          <w:i w:val="0"/>
          <w:iCs w:val="0"/>
          <w:color w:val="000000"/>
          <w:kern w:val="0"/>
          <w:sz w:val="32"/>
          <w:szCs w:val="32"/>
          <w:highlight w:val="none"/>
          <w:vertAlign w:val="baseline"/>
        </w:rPr>
        <w:t>4) Recommended selectively to the media institutions which serve as partners of the Competition, for publicity.</w:t>
      </w:r>
    </w:p>
    <w:p w14:paraId="723D79D7">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kern w:val="0"/>
          <w:sz w:val="32"/>
          <w:szCs w:val="32"/>
        </w:rPr>
        <w:t xml:space="preserve">5. </w:t>
      </w:r>
      <w:r>
        <w:rPr>
          <w:rFonts w:hint="default" w:ascii="Times New Roman" w:hAnsi="Times New Roman" w:eastAsia="宋体" w:cs="Times New Roman"/>
          <w:kern w:val="0"/>
          <w:sz w:val="32"/>
          <w:szCs w:val="32"/>
        </w:rPr>
        <w:t>实施“创业者成长计划”，构建覆盖报名至持续培育的全链条服务体系，提供政策解读、导师陪跑、路演打磨、场景对接等配套服务。</w:t>
      </w:r>
    </w:p>
    <w:p w14:paraId="3D2C69B6">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9"/>
        <w:rPr>
          <w:rFonts w:hint="default" w:ascii="Times New Roman" w:hAnsi="Times New Roman" w:eastAsia="宋体" w:cs="Times New Roman"/>
          <w:kern w:val="0"/>
          <w:sz w:val="32"/>
          <w:szCs w:val="32"/>
        </w:rPr>
      </w:pPr>
      <w:r>
        <w:rPr>
          <w:rFonts w:hint="default" w:ascii="Times New Roman" w:hAnsi="Times New Roman" w:eastAsia="宋体" w:cs="Times New Roman"/>
          <w:b w:val="0"/>
          <w:bCs w:val="0"/>
          <w:i w:val="0"/>
          <w:iCs w:val="0"/>
          <w:color w:val="000000"/>
          <w:kern w:val="0"/>
          <w:sz w:val="32"/>
          <w:szCs w:val="32"/>
          <w:highlight w:val="none"/>
          <w:vertAlign w:val="baseline"/>
        </w:rPr>
        <w:t>5) Implement the "Entrepreneur Growth Program", establishing a full-chain service system cov</w:t>
      </w:r>
      <w:bookmarkStart w:id="0" w:name="_GoBack"/>
      <w:bookmarkEnd w:id="0"/>
      <w:r>
        <w:rPr>
          <w:rFonts w:hint="default" w:ascii="Times New Roman" w:hAnsi="Times New Roman" w:eastAsia="宋体" w:cs="Times New Roman"/>
          <w:b w:val="0"/>
          <w:bCs w:val="0"/>
          <w:i w:val="0"/>
          <w:iCs w:val="0"/>
          <w:color w:val="000000"/>
          <w:kern w:val="0"/>
          <w:sz w:val="32"/>
          <w:szCs w:val="32"/>
          <w:highlight w:val="none"/>
          <w:vertAlign w:val="baseline"/>
        </w:rPr>
        <w:t>ering registration to continuous cultivation, providing supporting services such as policy interpretation, mentor guidance, pitch refinement, and scenario matching.</w:t>
      </w:r>
    </w:p>
    <w:p w14:paraId="719F54B6">
      <w:pPr>
        <w:rPr>
          <w:rFonts w:hint="default" w:ascii="Times New Roman" w:hAnsi="Times New Roman" w:eastAsia="宋体" w:cs="Times New Roman"/>
        </w:rPr>
      </w:pPr>
    </w:p>
    <w:p w14:paraId="3C49A42C">
      <w:pPr>
        <w:rPr>
          <w:rFonts w:hint="default" w:ascii="Times New Roman" w:hAnsi="Times New Roman" w:eastAsia="宋体" w:cs="Times New Roma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3528D5"/>
    <w:rsid w:val="6DDE5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正文文字"/>
    <w:basedOn w:val="3"/>
    <w:next w:val="1"/>
    <w:qFormat/>
    <w:uiPriority w:val="0"/>
    <w:pPr>
      <w:spacing w:after="120"/>
    </w:pPr>
  </w:style>
  <w:style w:type="paragraph" w:styleId="3">
    <w:name w:val="Normal Indent"/>
    <w:basedOn w:val="1"/>
    <w:next w:val="1"/>
    <w:qFormat/>
    <w:uiPriority w:val="99"/>
    <w:pPr>
      <w:ind w:firstLine="200" w:firstLineChars="200"/>
    </w:pPr>
    <w:rPr>
      <w:rFonts w:ascii="Calibri" w:hAnsi="Calibri"/>
    </w:rPr>
  </w:style>
  <w:style w:type="paragraph" w:styleId="4">
    <w:name w:val="Body Text"/>
    <w:basedOn w:val="1"/>
    <w:next w:val="5"/>
    <w:qFormat/>
    <w:uiPriority w:val="0"/>
    <w:pPr>
      <w:widowControl/>
      <w:kinsoku w:val="0"/>
      <w:autoSpaceDE w:val="0"/>
      <w:autoSpaceDN w:val="0"/>
      <w:adjustRightInd w:val="0"/>
      <w:snapToGrid w:val="0"/>
      <w:jc w:val="left"/>
      <w:textAlignment w:val="baseline"/>
    </w:pPr>
    <w:rPr>
      <w:rFonts w:ascii="仿宋" w:hAnsi="仿宋" w:eastAsia="仿宋" w:cs="仿宋"/>
      <w:snapToGrid w:val="0"/>
      <w:color w:val="000000"/>
      <w:kern w:val="0"/>
      <w:sz w:val="31"/>
      <w:szCs w:val="31"/>
      <w:lang w:eastAsia="en-US"/>
    </w:rPr>
  </w:style>
  <w:style w:type="paragraph" w:styleId="5">
    <w:name w:val="Body Text 2"/>
    <w:basedOn w:val="1"/>
    <w:unhideWhenUsed/>
    <w:qFormat/>
    <w:uiPriority w:val="99"/>
    <w:pPr>
      <w:spacing w:after="120" w:line="480" w:lineRule="auto"/>
    </w:pPr>
  </w:style>
  <w:style w:type="paragraph" w:customStyle="1" w:styleId="8">
    <w:name w:val="EndnoteText"/>
    <w:basedOn w:val="1"/>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10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2026-05-26T06:24:16Z</dcterms:created>
  <dc:creator>Administrator</dc:creator>
  <cp:lastModifiedBy>刘杰</cp:lastModifiedBy>
  <dcterms:modified xsi:type="dcterms:W3CDTF">2026-05-26T06:36:46Z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eyJoZGlkIjoiMDNmOTllMGUyZWExODRhODgyNzAzZjFlYjE5OGUxYjMiLCJ1c2VySWQiOiIxMDM5NzE5MDA2In0=</vt:lpwstr>
  </property>
  <property fmtid="{D5CDD505-2E9C-101B-9397-08002B2CF9AE}" pid="4" name="ICV">
    <vt:lpwstr>9DDA1723E75545E0B4DCBEF3B0D59B54_12</vt:lpwstr>
  </property>
</Properties>
</file>