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C0" w:rsidRPr="000615C0" w:rsidRDefault="000615C0" w:rsidP="000615C0">
      <w:pPr>
        <w:tabs>
          <w:tab w:val="left" w:pos="1080"/>
        </w:tabs>
        <w:spacing w:afterLines="50" w:after="156"/>
        <w:ind w:firstLineChars="100" w:firstLine="320"/>
        <w:rPr>
          <w:rFonts w:ascii="方正小标宋简体" w:eastAsia="方正小标宋简体" w:hAnsi="宋体" w:hint="eastAsia"/>
          <w:sz w:val="32"/>
          <w:szCs w:val="32"/>
        </w:rPr>
      </w:pPr>
      <w:r w:rsidRPr="000615C0">
        <w:rPr>
          <w:rFonts w:ascii="方正小标宋简体" w:eastAsia="方正小标宋简体" w:hAnsi="宋体" w:hint="eastAsia"/>
          <w:sz w:val="32"/>
          <w:szCs w:val="32"/>
        </w:rPr>
        <w:t>附件3</w:t>
      </w:r>
    </w:p>
    <w:p w:rsidR="00CD3BA5" w:rsidRDefault="00CD3BA5" w:rsidP="006A5554">
      <w:pPr>
        <w:tabs>
          <w:tab w:val="left" w:pos="1080"/>
        </w:tabs>
        <w:spacing w:afterLines="50" w:after="156"/>
        <w:ind w:firstLineChars="100" w:firstLine="400"/>
        <w:jc w:val="center"/>
        <w:rPr>
          <w:rFonts w:ascii="方正小标宋简体" w:eastAsia="方正小标宋简体"/>
          <w:sz w:val="40"/>
          <w:szCs w:val="40"/>
        </w:rPr>
      </w:pPr>
      <w:r>
        <w:rPr>
          <w:rFonts w:ascii="方正小标宋简体" w:eastAsia="方正小标宋简体" w:hAnsi="宋体" w:hint="eastAsia"/>
          <w:sz w:val="40"/>
          <w:szCs w:val="40"/>
        </w:rPr>
        <w:t>湖南省可持续发展实验</w:t>
      </w:r>
      <w:proofErr w:type="gramStart"/>
      <w:r>
        <w:rPr>
          <w:rFonts w:ascii="方正小标宋简体" w:eastAsia="方正小标宋简体" w:hAnsi="宋体" w:hint="eastAsia"/>
          <w:sz w:val="40"/>
          <w:szCs w:val="40"/>
        </w:rPr>
        <w:t>区</w:t>
      </w:r>
      <w:r w:rsidR="00F26FFD">
        <w:rPr>
          <w:rFonts w:ascii="方正小标宋简体" w:eastAsia="方正小标宋简体" w:hAnsi="宋体" w:hint="eastAsia"/>
          <w:sz w:val="40"/>
          <w:szCs w:val="40"/>
        </w:rPr>
        <w:t>评价</w:t>
      </w:r>
      <w:proofErr w:type="gramEnd"/>
      <w:r>
        <w:rPr>
          <w:rFonts w:ascii="方正小标宋简体" w:eastAsia="方正小标宋简体" w:hAnsi="宋体" w:hint="eastAsia"/>
          <w:sz w:val="40"/>
          <w:szCs w:val="40"/>
        </w:rPr>
        <w:t>参考指标</w:t>
      </w:r>
      <w:r w:rsidR="00967F22">
        <w:rPr>
          <w:rFonts w:ascii="方正小标宋简体" w:eastAsia="方正小标宋简体" w:hAnsi="宋体" w:hint="eastAsia"/>
          <w:sz w:val="40"/>
          <w:szCs w:val="40"/>
        </w:rPr>
        <w:t>解释</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552"/>
        <w:gridCol w:w="10773"/>
      </w:tblGrid>
      <w:tr w:rsidR="00D353CA" w:rsidTr="009F3799">
        <w:trPr>
          <w:trHeight w:val="400"/>
        </w:trPr>
        <w:tc>
          <w:tcPr>
            <w:tcW w:w="675" w:type="dxa"/>
            <w:vMerge w:val="restart"/>
            <w:tcBorders>
              <w:top w:val="single" w:sz="4" w:space="0" w:color="auto"/>
            </w:tcBorders>
            <w:vAlign w:val="center"/>
          </w:tcPr>
          <w:p w:rsidR="00D353CA" w:rsidRDefault="00D353CA" w:rsidP="00594FF5">
            <w:pPr>
              <w:spacing w:line="320" w:lineRule="exact"/>
              <w:jc w:val="center"/>
            </w:pPr>
            <w:r>
              <w:rPr>
                <w:rFonts w:eastAsia="仿宋_GB2312" w:hint="eastAsia"/>
                <w:b/>
                <w:szCs w:val="21"/>
              </w:rPr>
              <w:t>一级指标</w:t>
            </w:r>
          </w:p>
        </w:tc>
        <w:tc>
          <w:tcPr>
            <w:tcW w:w="709" w:type="dxa"/>
            <w:vMerge w:val="restart"/>
            <w:tcBorders>
              <w:top w:val="single" w:sz="4" w:space="0" w:color="auto"/>
            </w:tcBorders>
            <w:vAlign w:val="center"/>
          </w:tcPr>
          <w:p w:rsidR="00D353CA" w:rsidRDefault="00D353CA" w:rsidP="00594FF5">
            <w:pPr>
              <w:spacing w:line="320" w:lineRule="exact"/>
              <w:jc w:val="center"/>
              <w:rPr>
                <w:rFonts w:eastAsia="仿宋_GB2312"/>
                <w:b/>
                <w:szCs w:val="21"/>
              </w:rPr>
            </w:pPr>
            <w:r>
              <w:rPr>
                <w:rFonts w:eastAsia="仿宋_GB2312" w:hint="eastAsia"/>
                <w:b/>
                <w:szCs w:val="21"/>
              </w:rPr>
              <w:t>序号</w:t>
            </w:r>
          </w:p>
        </w:tc>
        <w:tc>
          <w:tcPr>
            <w:tcW w:w="2552" w:type="dxa"/>
            <w:vMerge w:val="restart"/>
            <w:vAlign w:val="center"/>
          </w:tcPr>
          <w:p w:rsidR="00D353CA" w:rsidRDefault="00D353CA" w:rsidP="006A5554">
            <w:pPr>
              <w:spacing w:line="320" w:lineRule="exact"/>
              <w:jc w:val="center"/>
              <w:rPr>
                <w:rFonts w:eastAsia="仿宋_GB2312"/>
                <w:b/>
                <w:szCs w:val="21"/>
              </w:rPr>
            </w:pPr>
            <w:r>
              <w:rPr>
                <w:rFonts w:eastAsia="仿宋_GB2312" w:hint="eastAsia"/>
                <w:b/>
                <w:szCs w:val="21"/>
              </w:rPr>
              <w:t>二级指标</w:t>
            </w:r>
          </w:p>
        </w:tc>
        <w:tc>
          <w:tcPr>
            <w:tcW w:w="10773" w:type="dxa"/>
            <w:vMerge w:val="restart"/>
            <w:vAlign w:val="center"/>
          </w:tcPr>
          <w:p w:rsidR="00D353CA" w:rsidRDefault="00D353CA" w:rsidP="006A5554">
            <w:pPr>
              <w:spacing w:line="320" w:lineRule="exact"/>
              <w:jc w:val="center"/>
              <w:rPr>
                <w:rFonts w:eastAsia="仿宋_GB2312"/>
                <w:b/>
                <w:szCs w:val="21"/>
              </w:rPr>
            </w:pPr>
            <w:r>
              <w:rPr>
                <w:rFonts w:eastAsia="仿宋_GB2312" w:hint="eastAsia"/>
                <w:b/>
                <w:szCs w:val="21"/>
              </w:rPr>
              <w:t>指标解释</w:t>
            </w:r>
          </w:p>
        </w:tc>
      </w:tr>
      <w:tr w:rsidR="00D353CA" w:rsidTr="009F3799">
        <w:trPr>
          <w:trHeight w:val="334"/>
        </w:trPr>
        <w:tc>
          <w:tcPr>
            <w:tcW w:w="675" w:type="dxa"/>
            <w:vMerge/>
            <w:vAlign w:val="center"/>
          </w:tcPr>
          <w:p w:rsidR="00D353CA" w:rsidRDefault="00D353CA" w:rsidP="00594FF5">
            <w:pPr>
              <w:spacing w:line="320" w:lineRule="exact"/>
              <w:jc w:val="center"/>
              <w:rPr>
                <w:rFonts w:eastAsia="仿宋_GB2312"/>
                <w:b/>
                <w:szCs w:val="21"/>
              </w:rPr>
            </w:pPr>
          </w:p>
        </w:tc>
        <w:tc>
          <w:tcPr>
            <w:tcW w:w="709" w:type="dxa"/>
            <w:vMerge/>
            <w:vAlign w:val="center"/>
          </w:tcPr>
          <w:p w:rsidR="00D353CA" w:rsidRDefault="00D353CA" w:rsidP="00594FF5">
            <w:pPr>
              <w:spacing w:line="320" w:lineRule="exact"/>
              <w:jc w:val="center"/>
              <w:rPr>
                <w:rFonts w:eastAsia="仿宋_GB2312"/>
                <w:b/>
                <w:szCs w:val="21"/>
              </w:rPr>
            </w:pPr>
          </w:p>
        </w:tc>
        <w:tc>
          <w:tcPr>
            <w:tcW w:w="2552" w:type="dxa"/>
            <w:vMerge/>
            <w:vAlign w:val="center"/>
          </w:tcPr>
          <w:p w:rsidR="00D353CA" w:rsidRDefault="00D353CA" w:rsidP="00594FF5">
            <w:pPr>
              <w:spacing w:line="320" w:lineRule="exact"/>
              <w:ind w:firstLineChars="400" w:firstLine="843"/>
              <w:jc w:val="center"/>
              <w:rPr>
                <w:rFonts w:eastAsia="仿宋_GB2312"/>
                <w:b/>
                <w:szCs w:val="21"/>
              </w:rPr>
            </w:pPr>
          </w:p>
        </w:tc>
        <w:tc>
          <w:tcPr>
            <w:tcW w:w="10773" w:type="dxa"/>
            <w:vMerge/>
          </w:tcPr>
          <w:p w:rsidR="00D353CA" w:rsidRDefault="00D353CA" w:rsidP="00594FF5">
            <w:pPr>
              <w:spacing w:line="320" w:lineRule="exact"/>
              <w:jc w:val="center"/>
              <w:rPr>
                <w:rFonts w:eastAsia="仿宋_GB2312"/>
                <w:b/>
                <w:szCs w:val="21"/>
              </w:rPr>
            </w:pPr>
          </w:p>
        </w:tc>
      </w:tr>
      <w:tr w:rsidR="00D353CA" w:rsidTr="009F3799">
        <w:trPr>
          <w:cantSplit/>
        </w:trPr>
        <w:tc>
          <w:tcPr>
            <w:tcW w:w="675" w:type="dxa"/>
            <w:vMerge w:val="restart"/>
            <w:vAlign w:val="center"/>
          </w:tcPr>
          <w:p w:rsidR="00D353CA" w:rsidRDefault="00D353CA" w:rsidP="00594FF5">
            <w:pPr>
              <w:spacing w:line="320" w:lineRule="exact"/>
              <w:jc w:val="center"/>
              <w:rPr>
                <w:rFonts w:ascii="宋体" w:hAnsi="宋体" w:cs="宋体"/>
                <w:b/>
              </w:rPr>
            </w:pPr>
            <w:r>
              <w:rPr>
                <w:rFonts w:ascii="宋体" w:hAnsi="宋体" w:cs="宋体" w:hint="eastAsia"/>
                <w:b/>
              </w:rPr>
              <w:t>创新驱动</w:t>
            </w:r>
          </w:p>
        </w:tc>
        <w:tc>
          <w:tcPr>
            <w:tcW w:w="709" w:type="dxa"/>
            <w:vAlign w:val="center"/>
          </w:tcPr>
          <w:p w:rsidR="00D353CA" w:rsidRDefault="00D353CA" w:rsidP="00594FF5">
            <w:pPr>
              <w:spacing w:line="320" w:lineRule="exact"/>
              <w:jc w:val="center"/>
              <w:rPr>
                <w:rFonts w:ascii="宋体" w:hAnsi="宋体" w:cs="宋体"/>
                <w:bCs/>
                <w:szCs w:val="21"/>
              </w:rPr>
            </w:pPr>
            <w:r>
              <w:rPr>
                <w:rFonts w:ascii="宋体" w:hAnsi="宋体" w:cs="宋体" w:hint="eastAsia"/>
                <w:bCs/>
                <w:szCs w:val="21"/>
              </w:rPr>
              <w:t>1</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color w:val="000000"/>
                <w:kern w:val="0"/>
                <w:szCs w:val="21"/>
                <w:lang w:bidi="ar"/>
              </w:rPr>
              <w:t>本级科学技术支出占当年本级财政一般预算支出比例（%）</w:t>
            </w:r>
          </w:p>
        </w:tc>
        <w:tc>
          <w:tcPr>
            <w:tcW w:w="10773" w:type="dxa"/>
          </w:tcPr>
          <w:p w:rsidR="00D353CA" w:rsidRPr="00D353CA" w:rsidRDefault="000615C0" w:rsidP="00594FF5">
            <w:pPr>
              <w:spacing w:line="320" w:lineRule="exact"/>
              <w:rPr>
                <w:rFonts w:ascii="仿宋" w:eastAsia="仿宋" w:hAnsi="仿宋" w:cs="仿宋"/>
                <w:spacing w:val="-8"/>
                <w:szCs w:val="21"/>
              </w:rPr>
            </w:pPr>
            <w:r>
              <w:rPr>
                <w:rFonts w:ascii="仿宋" w:eastAsia="仿宋" w:hAnsi="仿宋" w:cs="仿宋" w:hint="eastAsia"/>
                <w:spacing w:val="-8"/>
                <w:szCs w:val="21"/>
              </w:rPr>
              <w:t>是指</w:t>
            </w:r>
            <w:r w:rsidR="00D353CA" w:rsidRPr="00D353CA">
              <w:rPr>
                <w:rFonts w:ascii="仿宋" w:eastAsia="仿宋" w:hAnsi="仿宋" w:cs="仿宋" w:hint="eastAsia"/>
                <w:spacing w:val="-8"/>
                <w:szCs w:val="21"/>
              </w:rPr>
              <w:t>行政区域内科学技术管理、基础研究、应用研究、技术研究与开发、科技条件与服务、社会科学、科学技术普及、科技交流与合作、其他科学技术支出，占当年本级财政一般预算支出比例。反映用于科学技术方面的支出</w:t>
            </w:r>
            <w:r>
              <w:rPr>
                <w:rFonts w:ascii="仿宋" w:eastAsia="仿宋" w:hAnsi="仿宋" w:cs="仿宋" w:hint="eastAsia"/>
                <w:spacing w:val="-8"/>
                <w:szCs w:val="21"/>
              </w:rPr>
              <w:t>情况</w:t>
            </w:r>
            <w:r w:rsidR="00D353CA" w:rsidRPr="00D353CA">
              <w:rPr>
                <w:rFonts w:ascii="仿宋" w:eastAsia="仿宋" w:hAnsi="仿宋" w:cs="仿宋" w:hint="eastAsia"/>
                <w:spacing w:val="-8"/>
                <w:szCs w:val="21"/>
              </w:rPr>
              <w:t>。</w:t>
            </w:r>
          </w:p>
        </w:tc>
      </w:tr>
      <w:tr w:rsidR="00D353CA" w:rsidTr="009F3799">
        <w:trPr>
          <w:cantSplit/>
          <w:trHeight w:val="338"/>
        </w:trPr>
        <w:tc>
          <w:tcPr>
            <w:tcW w:w="675" w:type="dxa"/>
            <w:vMerge/>
            <w:vAlign w:val="center"/>
          </w:tcPr>
          <w:p w:rsidR="00D353CA" w:rsidRDefault="00D353CA" w:rsidP="00594FF5">
            <w:pPr>
              <w:spacing w:line="320" w:lineRule="exact"/>
              <w:jc w:val="center"/>
              <w:rPr>
                <w:rFonts w:ascii="宋体" w:hAnsi="宋体" w:cs="宋体"/>
                <w:szCs w:val="21"/>
              </w:rPr>
            </w:pPr>
          </w:p>
        </w:tc>
        <w:tc>
          <w:tcPr>
            <w:tcW w:w="709" w:type="dxa"/>
            <w:vAlign w:val="center"/>
          </w:tcPr>
          <w:p w:rsidR="00D353CA" w:rsidRDefault="00D353CA" w:rsidP="00594FF5">
            <w:pPr>
              <w:spacing w:line="320" w:lineRule="exact"/>
              <w:jc w:val="center"/>
              <w:rPr>
                <w:rFonts w:ascii="宋体" w:hAnsi="宋体" w:cs="宋体"/>
                <w:bCs/>
                <w:szCs w:val="21"/>
              </w:rPr>
            </w:pPr>
            <w:r>
              <w:rPr>
                <w:rFonts w:ascii="宋体" w:hAnsi="宋体" w:cs="宋体" w:hint="eastAsia"/>
                <w:bCs/>
                <w:szCs w:val="21"/>
              </w:rPr>
              <w:t>2</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szCs w:val="21"/>
              </w:rPr>
              <w:t>万人发明专利数（件/万人）</w:t>
            </w:r>
          </w:p>
        </w:tc>
        <w:tc>
          <w:tcPr>
            <w:tcW w:w="10773" w:type="dxa"/>
          </w:tcPr>
          <w:p w:rsidR="00D353CA" w:rsidRPr="00D353CA" w:rsidRDefault="00D353CA" w:rsidP="0088417A">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是指行政区域内每万人拥有经国内外知识产权行政部门已申请、审查、授权且在有效期内的发明专利件数。反映拥有自主知识产权技术的核心指标。</w:t>
            </w:r>
          </w:p>
        </w:tc>
      </w:tr>
      <w:tr w:rsidR="00D353CA" w:rsidTr="009F3799">
        <w:trPr>
          <w:cantSplit/>
          <w:trHeight w:val="401"/>
        </w:trPr>
        <w:tc>
          <w:tcPr>
            <w:tcW w:w="675" w:type="dxa"/>
            <w:vMerge/>
            <w:vAlign w:val="center"/>
          </w:tcPr>
          <w:p w:rsidR="00D353CA" w:rsidRDefault="00D353CA" w:rsidP="00594FF5">
            <w:pPr>
              <w:spacing w:line="320" w:lineRule="exact"/>
              <w:ind w:rightChars="232" w:right="487"/>
              <w:jc w:val="center"/>
              <w:rPr>
                <w:rFonts w:ascii="宋体" w:hAnsi="宋体" w:cs="宋体"/>
                <w:szCs w:val="21"/>
              </w:rPr>
            </w:pPr>
          </w:p>
        </w:tc>
        <w:tc>
          <w:tcPr>
            <w:tcW w:w="709" w:type="dxa"/>
            <w:vAlign w:val="center"/>
          </w:tcPr>
          <w:p w:rsidR="00D353CA" w:rsidRDefault="00D353CA" w:rsidP="00594FF5">
            <w:pPr>
              <w:spacing w:line="320" w:lineRule="exact"/>
              <w:jc w:val="center"/>
              <w:rPr>
                <w:rFonts w:ascii="宋体" w:hAnsi="宋体" w:cs="宋体"/>
                <w:bCs/>
                <w:szCs w:val="21"/>
              </w:rPr>
            </w:pPr>
            <w:r>
              <w:rPr>
                <w:rFonts w:ascii="宋体" w:hAnsi="宋体" w:cs="宋体" w:hint="eastAsia"/>
                <w:bCs/>
                <w:szCs w:val="21"/>
              </w:rPr>
              <w:t>3</w:t>
            </w:r>
          </w:p>
        </w:tc>
        <w:tc>
          <w:tcPr>
            <w:tcW w:w="2552" w:type="dxa"/>
            <w:vAlign w:val="center"/>
          </w:tcPr>
          <w:p w:rsidR="00D353CA" w:rsidRDefault="00D353CA" w:rsidP="00DC0DFA">
            <w:pPr>
              <w:widowControl/>
              <w:textAlignment w:val="center"/>
              <w:rPr>
                <w:rFonts w:ascii="宋体" w:hAnsi="宋体" w:cs="宋体"/>
                <w:szCs w:val="21"/>
              </w:rPr>
            </w:pPr>
            <w:r>
              <w:rPr>
                <w:rFonts w:ascii="宋体" w:hAnsi="宋体" w:cs="宋体" w:hint="eastAsia"/>
                <w:szCs w:val="21"/>
              </w:rPr>
              <w:t>技术合同认定</w:t>
            </w:r>
            <w:r w:rsidRPr="009F3799">
              <w:rPr>
                <w:rFonts w:ascii="宋体" w:hAnsi="宋体" w:cs="宋体" w:hint="eastAsia"/>
                <w:szCs w:val="21"/>
              </w:rPr>
              <w:t>成交额（</w:t>
            </w:r>
            <w:r w:rsidR="00DC0DFA">
              <w:rPr>
                <w:rFonts w:ascii="宋体" w:hAnsi="宋体" w:cs="宋体" w:hint="eastAsia"/>
                <w:szCs w:val="21"/>
              </w:rPr>
              <w:t>万</w:t>
            </w:r>
            <w:r w:rsidRPr="009F3799">
              <w:rPr>
                <w:rFonts w:ascii="宋体" w:hAnsi="宋体" w:cs="宋体" w:hint="eastAsia"/>
                <w:szCs w:val="21"/>
              </w:rPr>
              <w:t>元）</w:t>
            </w:r>
          </w:p>
        </w:tc>
        <w:tc>
          <w:tcPr>
            <w:tcW w:w="10773" w:type="dxa"/>
          </w:tcPr>
          <w:p w:rsidR="00D353CA" w:rsidRPr="00D353CA" w:rsidRDefault="00D353CA" w:rsidP="00F075EF">
            <w:pPr>
              <w:spacing w:line="320" w:lineRule="exact"/>
              <w:rPr>
                <w:rFonts w:ascii="仿宋" w:eastAsia="仿宋" w:hAnsi="仿宋" w:cs="仿宋"/>
                <w:spacing w:val="-8"/>
                <w:szCs w:val="21"/>
              </w:rPr>
            </w:pPr>
            <w:r w:rsidRPr="00D353CA">
              <w:rPr>
                <w:rFonts w:ascii="仿宋" w:eastAsia="仿宋" w:hAnsi="仿宋" w:cs="仿宋" w:hint="eastAsia"/>
                <w:spacing w:val="-8"/>
                <w:szCs w:val="21"/>
              </w:rPr>
              <w:t>技术合同认定数：是指在行政区域内，根据《技术合同认定登记管理办法》设立的技术合同登记机构对技术合同当事人申请认定登记的合同文本从技术上进行核查，确认的技术合同数量。</w:t>
            </w:r>
          </w:p>
          <w:p w:rsidR="00D353CA" w:rsidRPr="00D353CA" w:rsidRDefault="00D353CA" w:rsidP="00F075EF">
            <w:pPr>
              <w:spacing w:line="320" w:lineRule="exact"/>
              <w:rPr>
                <w:rFonts w:ascii="仿宋" w:eastAsia="仿宋" w:hAnsi="仿宋" w:cs="仿宋"/>
                <w:spacing w:val="-8"/>
                <w:szCs w:val="21"/>
              </w:rPr>
            </w:pPr>
            <w:r w:rsidRPr="00D353CA">
              <w:rPr>
                <w:rFonts w:ascii="仿宋" w:eastAsia="仿宋" w:hAnsi="仿宋" w:cs="仿宋" w:hint="eastAsia"/>
                <w:spacing w:val="-8"/>
                <w:szCs w:val="21"/>
              </w:rPr>
              <w:t>技术合同成交额：是指行政区域内针对技术开发、技术转让、</w:t>
            </w:r>
            <w:bookmarkStart w:id="0" w:name="_GoBack"/>
            <w:bookmarkEnd w:id="0"/>
            <w:r w:rsidRPr="00D353CA">
              <w:rPr>
                <w:rFonts w:ascii="仿宋" w:eastAsia="仿宋" w:hAnsi="仿宋" w:cs="仿宋" w:hint="eastAsia"/>
                <w:spacing w:val="-8"/>
                <w:szCs w:val="21"/>
              </w:rPr>
              <w:t>技术咨询和技术服务类，按合同的成交额。</w:t>
            </w:r>
          </w:p>
          <w:p w:rsidR="00D353CA" w:rsidRPr="00D353CA" w:rsidRDefault="00D353CA" w:rsidP="00F075EF">
            <w:pPr>
              <w:spacing w:line="320" w:lineRule="exact"/>
              <w:rPr>
                <w:rFonts w:ascii="仿宋" w:eastAsia="仿宋" w:hAnsi="仿宋" w:cs="仿宋"/>
                <w:spacing w:val="-8"/>
                <w:szCs w:val="21"/>
              </w:rPr>
            </w:pPr>
            <w:r w:rsidRPr="00D353CA">
              <w:rPr>
                <w:rFonts w:ascii="仿宋" w:eastAsia="仿宋" w:hAnsi="仿宋" w:cs="仿宋" w:hint="eastAsia"/>
                <w:spacing w:val="-8"/>
                <w:szCs w:val="21"/>
              </w:rPr>
              <w:t>反映了科技成果转化情况。</w:t>
            </w:r>
          </w:p>
        </w:tc>
      </w:tr>
      <w:tr w:rsidR="00D353CA" w:rsidTr="009F3799">
        <w:trPr>
          <w:cantSplit/>
        </w:trPr>
        <w:tc>
          <w:tcPr>
            <w:tcW w:w="675" w:type="dxa"/>
            <w:vMerge/>
            <w:vAlign w:val="center"/>
          </w:tcPr>
          <w:p w:rsidR="00D353CA" w:rsidRDefault="00D353CA" w:rsidP="00594FF5">
            <w:pPr>
              <w:spacing w:line="320" w:lineRule="exact"/>
              <w:jc w:val="center"/>
              <w:rPr>
                <w:rFonts w:ascii="宋体" w:hAnsi="宋体" w:cs="宋体"/>
                <w:szCs w:val="21"/>
              </w:rPr>
            </w:pPr>
          </w:p>
        </w:tc>
        <w:tc>
          <w:tcPr>
            <w:tcW w:w="709" w:type="dxa"/>
            <w:vAlign w:val="center"/>
          </w:tcPr>
          <w:p w:rsidR="00D353CA" w:rsidRDefault="00D353CA" w:rsidP="00594FF5">
            <w:pPr>
              <w:spacing w:line="320" w:lineRule="exact"/>
              <w:jc w:val="center"/>
              <w:rPr>
                <w:rFonts w:ascii="宋体" w:hAnsi="宋体" w:cs="宋体"/>
                <w:bCs/>
                <w:szCs w:val="21"/>
              </w:rPr>
            </w:pPr>
            <w:r>
              <w:rPr>
                <w:rFonts w:ascii="宋体" w:hAnsi="宋体" w:cs="宋体" w:hint="eastAsia"/>
                <w:bCs/>
                <w:szCs w:val="21"/>
              </w:rPr>
              <w:t>4</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szCs w:val="21"/>
              </w:rPr>
              <w:t>高新技术企业数/科技型中小企业数（</w:t>
            </w:r>
            <w:proofErr w:type="gramStart"/>
            <w:r>
              <w:rPr>
                <w:rFonts w:ascii="宋体" w:hAnsi="宋体" w:cs="宋体" w:hint="eastAsia"/>
                <w:szCs w:val="21"/>
              </w:rPr>
              <w:t>个</w:t>
            </w:r>
            <w:proofErr w:type="gramEnd"/>
            <w:r>
              <w:rPr>
                <w:rFonts w:ascii="宋体" w:hAnsi="宋体" w:cs="宋体" w:hint="eastAsia"/>
                <w:szCs w:val="21"/>
              </w:rPr>
              <w:t>）</w:t>
            </w:r>
          </w:p>
        </w:tc>
        <w:tc>
          <w:tcPr>
            <w:tcW w:w="10773" w:type="dxa"/>
          </w:tcPr>
          <w:p w:rsidR="00D353CA" w:rsidRPr="00D353CA" w:rsidRDefault="00D353CA" w:rsidP="00E51700">
            <w:pPr>
              <w:spacing w:line="320" w:lineRule="exact"/>
              <w:rPr>
                <w:rFonts w:ascii="仿宋" w:eastAsia="仿宋" w:hAnsi="仿宋" w:cs="仿宋"/>
                <w:spacing w:val="-8"/>
                <w:szCs w:val="21"/>
              </w:rPr>
            </w:pPr>
            <w:r w:rsidRPr="00D353CA">
              <w:rPr>
                <w:rFonts w:ascii="仿宋" w:eastAsia="仿宋" w:hAnsi="仿宋" w:cs="仿宋" w:hint="eastAsia"/>
                <w:spacing w:val="-8"/>
                <w:szCs w:val="21"/>
              </w:rPr>
              <w:t>高新技术企业数：是指行政区域内在《国家重点支持的高新技术领域》规定的范围中，持续进行研究开发与技术成果转化，形成企业核心自主知识产权，并以此为基础开展经营活动，在中国境内（不包括港、澳、台地区）注册一年以上的居民企业。</w:t>
            </w:r>
          </w:p>
          <w:p w:rsidR="00D353CA" w:rsidRPr="00D353CA" w:rsidRDefault="00D353CA" w:rsidP="00E51700">
            <w:pPr>
              <w:spacing w:line="320" w:lineRule="exact"/>
              <w:rPr>
                <w:rFonts w:ascii="仿宋" w:eastAsia="仿宋" w:hAnsi="仿宋" w:cs="仿宋"/>
                <w:spacing w:val="-8"/>
                <w:szCs w:val="21"/>
              </w:rPr>
            </w:pPr>
            <w:r w:rsidRPr="00D353CA">
              <w:rPr>
                <w:rFonts w:ascii="仿宋" w:eastAsia="仿宋" w:hAnsi="仿宋" w:cs="仿宋" w:hint="eastAsia"/>
                <w:spacing w:val="-8"/>
                <w:szCs w:val="21"/>
              </w:rPr>
              <w:t>科技型中小企业：是指在行政区域内以科技人员为主体，由科技人员领办和创办，主要从事高新技术产品的科学研究、研制、生产、销售，以科技成果商品化以及技术开发、技术服务、技术咨询和高新产品为主要内容，以市场为导向，实行“自筹资金、自愿组合、自主经营、自负盈亏、自我发展、自我约束”的知识密集型经济实体数量。</w:t>
            </w:r>
          </w:p>
          <w:p w:rsidR="00D353CA" w:rsidRPr="00D353CA" w:rsidRDefault="00D353CA" w:rsidP="00E51700">
            <w:pPr>
              <w:spacing w:line="320" w:lineRule="exact"/>
              <w:rPr>
                <w:rFonts w:ascii="仿宋" w:eastAsia="仿宋" w:hAnsi="仿宋" w:cs="仿宋"/>
                <w:spacing w:val="-8"/>
                <w:szCs w:val="21"/>
              </w:rPr>
            </w:pPr>
            <w:r w:rsidRPr="00D353CA">
              <w:rPr>
                <w:rFonts w:ascii="仿宋" w:eastAsia="仿宋" w:hAnsi="仿宋" w:cs="仿宋" w:hint="eastAsia"/>
                <w:spacing w:val="-8"/>
                <w:szCs w:val="21"/>
              </w:rPr>
              <w:t>衡量一个地区</w:t>
            </w:r>
            <w:proofErr w:type="gramStart"/>
            <w:r w:rsidRPr="00D353CA">
              <w:rPr>
                <w:rFonts w:ascii="仿宋" w:eastAsia="仿宋" w:hAnsi="仿宋" w:cs="仿宋" w:hint="eastAsia"/>
                <w:spacing w:val="-8"/>
                <w:szCs w:val="21"/>
              </w:rPr>
              <w:t>科创活力</w:t>
            </w:r>
            <w:proofErr w:type="gramEnd"/>
            <w:r w:rsidRPr="00D353CA">
              <w:rPr>
                <w:rFonts w:ascii="仿宋" w:eastAsia="仿宋" w:hAnsi="仿宋" w:cs="仿宋" w:hint="eastAsia"/>
                <w:spacing w:val="-8"/>
                <w:szCs w:val="21"/>
              </w:rPr>
              <w:t>的重要指标。</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5</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szCs w:val="21"/>
              </w:rPr>
              <w:t>创新载体数</w:t>
            </w:r>
          </w:p>
        </w:tc>
        <w:tc>
          <w:tcPr>
            <w:tcW w:w="10773" w:type="dxa"/>
          </w:tcPr>
          <w:p w:rsidR="00D353CA" w:rsidRPr="00D353CA" w:rsidRDefault="00D353CA"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创新创业载体主要是</w:t>
            </w:r>
            <w:r w:rsidR="00967F22">
              <w:rPr>
                <w:rFonts w:ascii="仿宋" w:eastAsia="仿宋" w:hAnsi="仿宋" w:cs="仿宋" w:hint="eastAsia"/>
                <w:spacing w:val="-8"/>
                <w:szCs w:val="21"/>
              </w:rPr>
              <w:t>指</w:t>
            </w:r>
            <w:r w:rsidRPr="00D353CA">
              <w:rPr>
                <w:rFonts w:ascii="仿宋" w:eastAsia="仿宋" w:hAnsi="仿宋" w:cs="仿宋" w:hint="eastAsia"/>
                <w:spacing w:val="-8"/>
                <w:szCs w:val="21"/>
              </w:rPr>
              <w:t>：1.指聚集为科技创新提供服务的公共服务平台、各类专业技术服务平台和科研机构、企业研发中心、工程技术中心等研发机构的载体。2.创业载体(孵化器)主要是指聚集科技型创业企业以及促进成果转化、孵化的载体;创意载体是指聚集以创意产业为支柱的现代科技服务业的载体。</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5.1</w:t>
            </w:r>
          </w:p>
        </w:tc>
        <w:tc>
          <w:tcPr>
            <w:tcW w:w="2552" w:type="dxa"/>
            <w:vAlign w:val="center"/>
          </w:tcPr>
          <w:p w:rsidR="00D353CA" w:rsidRDefault="00D353CA" w:rsidP="00D353CA">
            <w:pPr>
              <w:widowControl/>
              <w:ind w:firstLineChars="200" w:firstLine="420"/>
              <w:jc w:val="left"/>
              <w:textAlignment w:val="center"/>
              <w:rPr>
                <w:rFonts w:ascii="宋体" w:hAnsi="宋体" w:cs="宋体"/>
                <w:szCs w:val="21"/>
              </w:rPr>
            </w:pPr>
            <w:r>
              <w:rPr>
                <w:rFonts w:ascii="宋体" w:hAnsi="宋体" w:cs="宋体" w:hint="eastAsia"/>
                <w:szCs w:val="21"/>
              </w:rPr>
              <w:t>省级及以上科技企业孵化器（</w:t>
            </w:r>
            <w:proofErr w:type="gramStart"/>
            <w:r>
              <w:rPr>
                <w:rFonts w:ascii="宋体" w:hAnsi="宋体" w:cs="宋体" w:hint="eastAsia"/>
                <w:szCs w:val="21"/>
              </w:rPr>
              <w:t>个</w:t>
            </w:r>
            <w:proofErr w:type="gramEnd"/>
            <w:r>
              <w:rPr>
                <w:rFonts w:ascii="宋体" w:hAnsi="宋体" w:cs="宋体" w:hint="eastAsia"/>
                <w:szCs w:val="21"/>
              </w:rPr>
              <w:t>）</w:t>
            </w:r>
          </w:p>
        </w:tc>
        <w:tc>
          <w:tcPr>
            <w:tcW w:w="10773" w:type="dxa"/>
          </w:tcPr>
          <w:p w:rsidR="00D353CA" w:rsidRPr="00D353CA" w:rsidRDefault="00D353CA" w:rsidP="00894985">
            <w:pPr>
              <w:spacing w:line="320" w:lineRule="exact"/>
              <w:rPr>
                <w:rFonts w:ascii="仿宋" w:eastAsia="仿宋" w:hAnsi="仿宋" w:cs="仿宋"/>
                <w:spacing w:val="-8"/>
                <w:szCs w:val="21"/>
              </w:rPr>
            </w:pPr>
            <w:r w:rsidRPr="00D353CA">
              <w:rPr>
                <w:rFonts w:ascii="仿宋" w:eastAsia="仿宋" w:hAnsi="仿宋" w:cs="仿宋" w:hint="eastAsia"/>
                <w:spacing w:val="-8"/>
                <w:szCs w:val="21"/>
              </w:rPr>
              <w:t>省级及以上科技企业孵化器：是指在行政区域内以促进科技成果转化、培养高新技术企业和企业家为宗旨的科技创业服务载体，并按照国家级或省级《科技企业孵化器认定管理办法》认定的服务机构数量。反映了区域创新体系健全的重要指标。</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5.2</w:t>
            </w:r>
          </w:p>
        </w:tc>
        <w:tc>
          <w:tcPr>
            <w:tcW w:w="2552" w:type="dxa"/>
            <w:vAlign w:val="center"/>
          </w:tcPr>
          <w:p w:rsidR="00D353CA" w:rsidRDefault="00D353CA" w:rsidP="00D353CA">
            <w:pPr>
              <w:widowControl/>
              <w:jc w:val="left"/>
              <w:textAlignment w:val="center"/>
              <w:rPr>
                <w:rFonts w:ascii="宋体" w:hAnsi="宋体" w:cs="宋体"/>
                <w:szCs w:val="21"/>
              </w:rPr>
            </w:pPr>
            <w:r>
              <w:rPr>
                <w:rFonts w:ascii="宋体" w:hAnsi="宋体" w:cs="宋体" w:hint="eastAsia"/>
                <w:szCs w:val="21"/>
              </w:rPr>
              <w:t xml:space="preserve">    市级及</w:t>
            </w:r>
            <w:proofErr w:type="gramStart"/>
            <w:r>
              <w:rPr>
                <w:rFonts w:ascii="宋体" w:hAnsi="宋体" w:cs="宋体" w:hint="eastAsia"/>
                <w:szCs w:val="21"/>
              </w:rPr>
              <w:t>以上众创</w:t>
            </w:r>
            <w:proofErr w:type="gramEnd"/>
            <w:r>
              <w:rPr>
                <w:rFonts w:ascii="宋体" w:hAnsi="宋体" w:cs="宋体" w:hint="eastAsia"/>
                <w:szCs w:val="21"/>
              </w:rPr>
              <w:t>空间（</w:t>
            </w:r>
            <w:proofErr w:type="gramStart"/>
            <w:r>
              <w:rPr>
                <w:rFonts w:ascii="宋体" w:hAnsi="宋体" w:cs="宋体" w:hint="eastAsia"/>
                <w:szCs w:val="21"/>
              </w:rPr>
              <w:t>个</w:t>
            </w:r>
            <w:proofErr w:type="gramEnd"/>
            <w:r>
              <w:rPr>
                <w:rFonts w:ascii="宋体" w:hAnsi="宋体" w:cs="宋体" w:hint="eastAsia"/>
                <w:szCs w:val="21"/>
              </w:rPr>
              <w:t>）</w:t>
            </w:r>
          </w:p>
        </w:tc>
        <w:tc>
          <w:tcPr>
            <w:tcW w:w="10773" w:type="dxa"/>
          </w:tcPr>
          <w:p w:rsidR="00D353CA" w:rsidRPr="00D353CA" w:rsidRDefault="00D353CA" w:rsidP="00B368B8">
            <w:pPr>
              <w:spacing w:line="320" w:lineRule="exact"/>
              <w:rPr>
                <w:rFonts w:ascii="仿宋" w:eastAsia="仿宋" w:hAnsi="仿宋" w:cs="仿宋"/>
                <w:spacing w:val="-8"/>
                <w:szCs w:val="21"/>
              </w:rPr>
            </w:pPr>
            <w:proofErr w:type="gramStart"/>
            <w:r w:rsidRPr="00D353CA">
              <w:rPr>
                <w:rFonts w:ascii="仿宋" w:eastAsia="仿宋" w:hAnsi="仿宋" w:cs="仿宋" w:hint="eastAsia"/>
                <w:spacing w:val="-8"/>
                <w:szCs w:val="21"/>
              </w:rPr>
              <w:t>众创空间</w:t>
            </w:r>
            <w:proofErr w:type="gramEnd"/>
            <w:r w:rsidRPr="00D353CA">
              <w:rPr>
                <w:rFonts w:ascii="仿宋" w:eastAsia="仿宋" w:hAnsi="仿宋" w:cs="仿宋" w:hint="eastAsia"/>
                <w:spacing w:val="-8"/>
                <w:szCs w:val="21"/>
              </w:rPr>
              <w:t>：是指在行政区域内为满足大众创新创业需求，提供工作空间、网络空间、社交空间和资源共享空间，积极利用众筹、众扶、</w:t>
            </w:r>
            <w:proofErr w:type="gramStart"/>
            <w:r w:rsidRPr="00D353CA">
              <w:rPr>
                <w:rFonts w:ascii="仿宋" w:eastAsia="仿宋" w:hAnsi="仿宋" w:cs="仿宋" w:hint="eastAsia"/>
                <w:spacing w:val="-8"/>
                <w:szCs w:val="21"/>
              </w:rPr>
              <w:t>众包等</w:t>
            </w:r>
            <w:proofErr w:type="gramEnd"/>
            <w:r w:rsidRPr="00D353CA">
              <w:rPr>
                <w:rFonts w:ascii="仿宋" w:eastAsia="仿宋" w:hAnsi="仿宋" w:cs="仿宋" w:hint="eastAsia"/>
                <w:spacing w:val="-8"/>
                <w:szCs w:val="21"/>
              </w:rPr>
              <w:t>新手段，以社会化、专业化、市场化、网络化为服务特色，实现低成本、便利化、全要素、开放式运营的，符合《国家众创空间备案暂行规定》要求的市级及以上创新创业平台数量。反映了区域创新体系健全的重要指标。</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5.3</w:t>
            </w:r>
          </w:p>
        </w:tc>
        <w:tc>
          <w:tcPr>
            <w:tcW w:w="2552" w:type="dxa"/>
            <w:vAlign w:val="center"/>
          </w:tcPr>
          <w:p w:rsidR="00D353CA" w:rsidRDefault="00D353CA" w:rsidP="00E754CD">
            <w:pPr>
              <w:widowControl/>
              <w:jc w:val="left"/>
              <w:textAlignment w:val="center"/>
              <w:rPr>
                <w:rFonts w:ascii="宋体" w:hAnsi="宋体" w:cs="宋体"/>
                <w:szCs w:val="21"/>
              </w:rPr>
            </w:pPr>
            <w:r>
              <w:rPr>
                <w:rFonts w:ascii="宋体" w:hAnsi="宋体" w:cs="宋体" w:hint="eastAsia"/>
                <w:szCs w:val="21"/>
              </w:rPr>
              <w:t xml:space="preserve">    市级及</w:t>
            </w:r>
            <w:proofErr w:type="gramStart"/>
            <w:r>
              <w:rPr>
                <w:rFonts w:ascii="宋体" w:hAnsi="宋体" w:cs="宋体" w:hint="eastAsia"/>
                <w:szCs w:val="21"/>
              </w:rPr>
              <w:t>以上</w:t>
            </w:r>
            <w:r w:rsidR="00E754CD">
              <w:rPr>
                <w:rFonts w:ascii="宋体" w:hAnsi="宋体" w:cs="宋体" w:hint="eastAsia"/>
                <w:szCs w:val="21"/>
              </w:rPr>
              <w:t>星</w:t>
            </w:r>
            <w:r>
              <w:rPr>
                <w:rFonts w:ascii="宋体" w:hAnsi="宋体" w:cs="宋体" w:hint="eastAsia"/>
                <w:szCs w:val="21"/>
              </w:rPr>
              <w:t>创天地</w:t>
            </w:r>
            <w:proofErr w:type="gramEnd"/>
            <w:r>
              <w:rPr>
                <w:rFonts w:ascii="宋体" w:hAnsi="宋体" w:cs="宋体" w:hint="eastAsia"/>
                <w:szCs w:val="21"/>
              </w:rPr>
              <w:t>（</w:t>
            </w:r>
            <w:proofErr w:type="gramStart"/>
            <w:r>
              <w:rPr>
                <w:rFonts w:ascii="宋体" w:hAnsi="宋体" w:cs="宋体" w:hint="eastAsia"/>
                <w:szCs w:val="21"/>
              </w:rPr>
              <w:t>个</w:t>
            </w:r>
            <w:proofErr w:type="gramEnd"/>
            <w:r>
              <w:rPr>
                <w:rFonts w:ascii="宋体" w:hAnsi="宋体" w:cs="宋体" w:hint="eastAsia"/>
                <w:szCs w:val="21"/>
              </w:rPr>
              <w:t>）</w:t>
            </w:r>
          </w:p>
        </w:tc>
        <w:tc>
          <w:tcPr>
            <w:tcW w:w="10773" w:type="dxa"/>
          </w:tcPr>
          <w:p w:rsidR="00D353CA" w:rsidRPr="00D353CA" w:rsidRDefault="00D353CA" w:rsidP="00A32E40">
            <w:pPr>
              <w:spacing w:line="320" w:lineRule="exact"/>
              <w:rPr>
                <w:rFonts w:ascii="仿宋" w:eastAsia="仿宋" w:hAnsi="仿宋" w:cs="仿宋"/>
                <w:spacing w:val="-8"/>
                <w:szCs w:val="21"/>
              </w:rPr>
            </w:pPr>
            <w:proofErr w:type="gramStart"/>
            <w:r w:rsidRPr="00D353CA">
              <w:rPr>
                <w:rFonts w:ascii="仿宋" w:eastAsia="仿宋" w:hAnsi="仿宋" w:cs="仿宋" w:hint="eastAsia"/>
                <w:spacing w:val="-8"/>
                <w:szCs w:val="21"/>
              </w:rPr>
              <w:t>星创天地</w:t>
            </w:r>
            <w:proofErr w:type="gramEnd"/>
            <w:r w:rsidRPr="00D353CA">
              <w:rPr>
                <w:rFonts w:ascii="仿宋" w:eastAsia="仿宋" w:hAnsi="仿宋" w:cs="仿宋" w:hint="eastAsia"/>
                <w:spacing w:val="-8"/>
                <w:szCs w:val="21"/>
              </w:rPr>
              <w:t>：是指在行政区域内，由独立法人机构运营，面向农业农村创新创业主体，通过市场化机制、专业化服务和资本化运作方式，聚集创新资源和创业要素，建设的集科技示范、技术集成、成果转化、创业孵化、平台服务，并符合《湖南省促进星创天地发展与管理办法（试行）》要求的，为新型农业创新创业一站式开放性综合服务平台个数。反映了区域创新体系健全的重要指标。</w:t>
            </w:r>
          </w:p>
        </w:tc>
      </w:tr>
      <w:tr w:rsidR="00D353CA" w:rsidTr="009F3799">
        <w:trPr>
          <w:cantSplit/>
        </w:trPr>
        <w:tc>
          <w:tcPr>
            <w:tcW w:w="675" w:type="dxa"/>
            <w:vMerge/>
            <w:vAlign w:val="center"/>
          </w:tcPr>
          <w:p w:rsidR="00D353CA" w:rsidRDefault="00D353CA" w:rsidP="00594FF5">
            <w:pPr>
              <w:jc w:val="center"/>
              <w:rPr>
                <w:rFonts w:ascii="宋体" w:hAnsi="宋体" w:cs="宋体"/>
                <w:b/>
                <w:szCs w:val="21"/>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6</w:t>
            </w:r>
          </w:p>
        </w:tc>
        <w:tc>
          <w:tcPr>
            <w:tcW w:w="2552" w:type="dxa"/>
            <w:vAlign w:val="center"/>
          </w:tcPr>
          <w:p w:rsidR="00D353CA" w:rsidRDefault="00D353CA" w:rsidP="00D353CA">
            <w:pPr>
              <w:widowControl/>
              <w:textAlignment w:val="center"/>
              <w:rPr>
                <w:rFonts w:ascii="宋体" w:hAnsi="宋体" w:cs="宋体"/>
                <w:szCs w:val="21"/>
              </w:rPr>
            </w:pPr>
            <w:r>
              <w:rPr>
                <w:rStyle w:val="font11"/>
                <w:rFonts w:hint="default"/>
                <w:color w:val="auto"/>
                <w:sz w:val="21"/>
                <w:szCs w:val="21"/>
                <w:lang w:bidi="ar"/>
              </w:rPr>
              <w:t>高新技术产业产值占</w:t>
            </w:r>
            <w:r>
              <w:rPr>
                <w:rStyle w:val="font01"/>
                <w:rFonts w:hint="default"/>
                <w:color w:val="auto"/>
                <w:sz w:val="21"/>
                <w:szCs w:val="21"/>
                <w:lang w:bidi="ar"/>
              </w:rPr>
              <w:t>工业总产值</w:t>
            </w:r>
            <w:r>
              <w:rPr>
                <w:rStyle w:val="font11"/>
                <w:rFonts w:hint="default"/>
                <w:color w:val="auto"/>
                <w:sz w:val="21"/>
                <w:szCs w:val="21"/>
                <w:lang w:bidi="ar"/>
              </w:rPr>
              <w:t>的比重（%）</w:t>
            </w:r>
          </w:p>
        </w:tc>
        <w:tc>
          <w:tcPr>
            <w:tcW w:w="10773" w:type="dxa"/>
          </w:tcPr>
          <w:p w:rsidR="00D353CA" w:rsidRPr="00D353CA" w:rsidRDefault="00D353CA" w:rsidP="00E976B4">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是指在行政区域内，以高新技术为基础，从事一种或者多种高新技术研究、开发、生产和技术服务的生产总值占当地工业生产总值的比重。反映科技创新活的动投入产出对地方经济发展的支撑能力。</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D353CA" w:rsidP="00594FF5">
            <w:pPr>
              <w:jc w:val="center"/>
              <w:rPr>
                <w:rFonts w:ascii="宋体" w:hAnsi="宋体" w:cs="宋体"/>
                <w:bCs/>
                <w:szCs w:val="21"/>
              </w:rPr>
            </w:pPr>
            <w:r>
              <w:rPr>
                <w:rFonts w:ascii="宋体" w:hAnsi="宋体" w:cs="宋体" w:hint="eastAsia"/>
                <w:bCs/>
                <w:szCs w:val="21"/>
              </w:rPr>
              <w:t>7</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固定宽带家庭普及率（%）</w:t>
            </w:r>
          </w:p>
        </w:tc>
        <w:tc>
          <w:tcPr>
            <w:tcW w:w="10773" w:type="dxa"/>
          </w:tcPr>
          <w:p w:rsidR="00D353CA" w:rsidRPr="00D353CA" w:rsidRDefault="00D353CA"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是指在行政区域内，每百个家庭中有宽带接入的家庭数量。全面、客观的反映出互联网行业发展情况的指标。</w:t>
            </w:r>
          </w:p>
        </w:tc>
      </w:tr>
      <w:tr w:rsidR="00F22881" w:rsidTr="009F3799">
        <w:trPr>
          <w:cantSplit/>
        </w:trPr>
        <w:tc>
          <w:tcPr>
            <w:tcW w:w="675" w:type="dxa"/>
            <w:vMerge w:val="restart"/>
            <w:vAlign w:val="center"/>
          </w:tcPr>
          <w:p w:rsidR="00F22881" w:rsidRDefault="00F22881" w:rsidP="00594FF5">
            <w:pPr>
              <w:jc w:val="center"/>
              <w:rPr>
                <w:rFonts w:ascii="宋体" w:hAnsi="宋体" w:cs="宋体"/>
                <w:b/>
                <w:szCs w:val="21"/>
              </w:rPr>
            </w:pPr>
            <w:r>
              <w:rPr>
                <w:rFonts w:ascii="宋体" w:hAnsi="宋体" w:cs="宋体" w:hint="eastAsia"/>
                <w:b/>
                <w:szCs w:val="21"/>
              </w:rPr>
              <w:t>经济发展</w:t>
            </w: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8</w:t>
            </w:r>
          </w:p>
        </w:tc>
        <w:tc>
          <w:tcPr>
            <w:tcW w:w="2552" w:type="dxa"/>
            <w:vAlign w:val="center"/>
          </w:tcPr>
          <w:p w:rsidR="00F22881" w:rsidRDefault="00F22881" w:rsidP="00D353CA">
            <w:pPr>
              <w:widowControl/>
              <w:textAlignment w:val="center"/>
              <w:rPr>
                <w:rFonts w:ascii="宋体" w:hAnsi="宋体" w:cs="宋体"/>
                <w:szCs w:val="21"/>
              </w:rPr>
            </w:pPr>
            <w:r>
              <w:rPr>
                <w:rFonts w:ascii="宋体" w:hAnsi="宋体" w:cs="宋体" w:hint="eastAsia"/>
                <w:kern w:val="0"/>
                <w:szCs w:val="21"/>
                <w:lang w:bidi="ar"/>
              </w:rPr>
              <w:t>人均GDP（元/人）</w:t>
            </w:r>
          </w:p>
        </w:tc>
        <w:tc>
          <w:tcPr>
            <w:tcW w:w="10773" w:type="dxa"/>
          </w:tcPr>
          <w:p w:rsidR="00F22881" w:rsidRPr="00D353CA" w:rsidRDefault="00F22881"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是指在行政区域内，人均地区生产总值。反映了地区宏观经济运行状况。</w:t>
            </w:r>
          </w:p>
        </w:tc>
      </w:tr>
      <w:tr w:rsidR="00F22881" w:rsidTr="009F3799">
        <w:trPr>
          <w:cantSplit/>
        </w:trPr>
        <w:tc>
          <w:tcPr>
            <w:tcW w:w="675" w:type="dxa"/>
            <w:vMerge/>
            <w:vAlign w:val="center"/>
          </w:tcPr>
          <w:p w:rsidR="00F22881" w:rsidRDefault="00F22881" w:rsidP="00594FF5">
            <w:pPr>
              <w:jc w:val="center"/>
              <w:rPr>
                <w:rFonts w:ascii="宋体" w:hAnsi="宋体" w:cs="宋体"/>
                <w:b/>
              </w:rPr>
            </w:pP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9</w:t>
            </w:r>
          </w:p>
        </w:tc>
        <w:tc>
          <w:tcPr>
            <w:tcW w:w="2552" w:type="dxa"/>
            <w:vAlign w:val="center"/>
          </w:tcPr>
          <w:p w:rsidR="00F22881" w:rsidRDefault="00F22881" w:rsidP="00D353CA">
            <w:pPr>
              <w:widowControl/>
              <w:textAlignment w:val="center"/>
              <w:rPr>
                <w:rFonts w:ascii="宋体" w:hAnsi="宋体" w:cs="宋体"/>
                <w:szCs w:val="21"/>
              </w:rPr>
            </w:pPr>
            <w:r>
              <w:rPr>
                <w:rFonts w:ascii="宋体" w:hAnsi="宋体" w:cs="宋体" w:hint="eastAsia"/>
                <w:kern w:val="0"/>
                <w:szCs w:val="21"/>
                <w:lang w:bidi="ar"/>
              </w:rPr>
              <w:t>GDP增长率（%）</w:t>
            </w:r>
          </w:p>
        </w:tc>
        <w:tc>
          <w:tcPr>
            <w:tcW w:w="10773" w:type="dxa"/>
          </w:tcPr>
          <w:p w:rsidR="00F22881" w:rsidRPr="00D353CA" w:rsidRDefault="00F22881" w:rsidP="00A61D99">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是指在行政区域内，地区生产总值的年度增长率。反映了地区宏观经济增长速度。</w:t>
            </w:r>
          </w:p>
        </w:tc>
      </w:tr>
      <w:tr w:rsidR="00F22881" w:rsidTr="009F3799">
        <w:trPr>
          <w:cantSplit/>
        </w:trPr>
        <w:tc>
          <w:tcPr>
            <w:tcW w:w="675" w:type="dxa"/>
            <w:vMerge/>
            <w:vAlign w:val="center"/>
          </w:tcPr>
          <w:p w:rsidR="00F22881" w:rsidRDefault="00F22881" w:rsidP="00594FF5">
            <w:pPr>
              <w:jc w:val="center"/>
              <w:rPr>
                <w:rFonts w:ascii="宋体" w:hAnsi="宋体" w:cs="宋体"/>
                <w:b/>
                <w:szCs w:val="21"/>
              </w:rPr>
            </w:pP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10</w:t>
            </w:r>
          </w:p>
        </w:tc>
        <w:tc>
          <w:tcPr>
            <w:tcW w:w="2552" w:type="dxa"/>
            <w:vAlign w:val="center"/>
          </w:tcPr>
          <w:p w:rsidR="00F22881" w:rsidRDefault="00F22881" w:rsidP="00F22881">
            <w:pPr>
              <w:widowControl/>
              <w:textAlignment w:val="center"/>
              <w:rPr>
                <w:rFonts w:ascii="宋体" w:hAnsi="宋体" w:cs="宋体"/>
                <w:szCs w:val="21"/>
              </w:rPr>
            </w:pPr>
            <w:r>
              <w:rPr>
                <w:rFonts w:ascii="宋体" w:hAnsi="宋体" w:cs="宋体" w:hint="eastAsia"/>
                <w:kern w:val="0"/>
                <w:szCs w:val="21"/>
                <w:lang w:bidi="ar"/>
              </w:rPr>
              <w:t>人均地方财政</w:t>
            </w:r>
            <w:r w:rsidRPr="009F3799">
              <w:rPr>
                <w:rFonts w:ascii="宋体" w:hAnsi="宋体" w:cs="宋体" w:hint="eastAsia"/>
                <w:kern w:val="0"/>
                <w:szCs w:val="21"/>
                <w:lang w:bidi="ar"/>
              </w:rPr>
              <w:t>收入</w:t>
            </w:r>
            <w:r>
              <w:rPr>
                <w:rFonts w:ascii="宋体" w:hAnsi="宋体" w:cs="宋体" w:hint="eastAsia"/>
                <w:kern w:val="0"/>
                <w:szCs w:val="21"/>
                <w:lang w:bidi="ar"/>
              </w:rPr>
              <w:t>增长值（元/人）</w:t>
            </w:r>
          </w:p>
        </w:tc>
        <w:tc>
          <w:tcPr>
            <w:tcW w:w="10773" w:type="dxa"/>
          </w:tcPr>
          <w:p w:rsidR="00F22881" w:rsidRPr="00D353CA" w:rsidRDefault="00F22881" w:rsidP="00E754CD">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是指在行政区域内，人均地方财政收入年度之间增长额。反映了地区财政收入的增长速度。</w:t>
            </w:r>
          </w:p>
        </w:tc>
      </w:tr>
      <w:tr w:rsidR="00F22881" w:rsidTr="00F22881">
        <w:trPr>
          <w:cantSplit/>
          <w:trHeight w:val="1100"/>
        </w:trPr>
        <w:tc>
          <w:tcPr>
            <w:tcW w:w="675" w:type="dxa"/>
            <w:vMerge/>
            <w:vAlign w:val="center"/>
          </w:tcPr>
          <w:p w:rsidR="00F22881" w:rsidRDefault="00F22881" w:rsidP="00594FF5">
            <w:pPr>
              <w:jc w:val="center"/>
              <w:rPr>
                <w:rFonts w:ascii="宋体" w:hAnsi="宋体" w:cs="宋体"/>
                <w:b/>
                <w:szCs w:val="21"/>
              </w:rPr>
            </w:pP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11</w:t>
            </w:r>
          </w:p>
        </w:tc>
        <w:tc>
          <w:tcPr>
            <w:tcW w:w="2552" w:type="dxa"/>
            <w:vAlign w:val="center"/>
          </w:tcPr>
          <w:p w:rsidR="00F22881" w:rsidRDefault="00F22881" w:rsidP="00D353CA">
            <w:pPr>
              <w:widowControl/>
              <w:textAlignment w:val="center"/>
              <w:rPr>
                <w:rFonts w:ascii="宋体" w:hAnsi="宋体" w:cs="宋体"/>
                <w:szCs w:val="21"/>
              </w:rPr>
            </w:pPr>
            <w:r>
              <w:rPr>
                <w:rFonts w:ascii="宋体" w:hAnsi="宋体" w:cs="宋体" w:hint="eastAsia"/>
                <w:kern w:val="0"/>
                <w:szCs w:val="21"/>
                <w:lang w:bidi="ar"/>
              </w:rPr>
              <w:t>城镇登记失业率（%）</w:t>
            </w:r>
          </w:p>
        </w:tc>
        <w:tc>
          <w:tcPr>
            <w:tcW w:w="10773" w:type="dxa"/>
          </w:tcPr>
          <w:p w:rsidR="00F22881" w:rsidRPr="00D353CA" w:rsidRDefault="00F22881"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是指在行政区域内，城镇登记失业人员与城镇单位就业人员（扣除使用的农村劳动力、聘用的离退休人员、港澳台及外方人员）、城镇单位中的</w:t>
            </w:r>
            <w:proofErr w:type="gramStart"/>
            <w:r w:rsidRPr="00D353CA">
              <w:rPr>
                <w:rFonts w:ascii="仿宋" w:eastAsia="仿宋" w:hAnsi="仿宋" w:cs="仿宋" w:hint="eastAsia"/>
                <w:spacing w:val="-8"/>
                <w:szCs w:val="21"/>
              </w:rPr>
              <w:t>不</w:t>
            </w:r>
            <w:proofErr w:type="gramEnd"/>
            <w:r w:rsidRPr="00D353CA">
              <w:rPr>
                <w:rFonts w:ascii="仿宋" w:eastAsia="仿宋" w:hAnsi="仿宋" w:cs="仿宋" w:hint="eastAsia"/>
                <w:spacing w:val="-8"/>
                <w:szCs w:val="21"/>
              </w:rPr>
              <w:t>在岗职工、城镇私营业主、个体户主、城镇私营企业和个体就业人员、城镇登记失业人员之和的比。反映了地区的就业状况，是反映地区经济景气指数的指标。</w:t>
            </w:r>
          </w:p>
        </w:tc>
      </w:tr>
      <w:tr w:rsidR="00F22881" w:rsidTr="00F22881">
        <w:trPr>
          <w:cantSplit/>
          <w:trHeight w:val="539"/>
        </w:trPr>
        <w:tc>
          <w:tcPr>
            <w:tcW w:w="675" w:type="dxa"/>
            <w:vMerge/>
            <w:vAlign w:val="center"/>
          </w:tcPr>
          <w:p w:rsidR="00F22881" w:rsidRDefault="00F22881" w:rsidP="00594FF5">
            <w:pPr>
              <w:jc w:val="center"/>
              <w:rPr>
                <w:rFonts w:ascii="宋体" w:hAnsi="宋体" w:cs="宋体"/>
                <w:b/>
                <w:szCs w:val="21"/>
              </w:rPr>
            </w:pP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12</w:t>
            </w:r>
          </w:p>
        </w:tc>
        <w:tc>
          <w:tcPr>
            <w:tcW w:w="2552" w:type="dxa"/>
            <w:vAlign w:val="center"/>
          </w:tcPr>
          <w:p w:rsidR="00F22881" w:rsidRDefault="00F22881" w:rsidP="00F22881">
            <w:pPr>
              <w:widowControl/>
              <w:textAlignment w:val="center"/>
              <w:rPr>
                <w:rFonts w:ascii="宋体" w:hAnsi="宋体" w:cs="宋体"/>
                <w:kern w:val="0"/>
                <w:szCs w:val="21"/>
                <w:lang w:bidi="ar"/>
              </w:rPr>
            </w:pPr>
            <w:r w:rsidRPr="00F22881">
              <w:rPr>
                <w:rFonts w:ascii="宋体" w:hAnsi="宋体" w:cs="宋体"/>
                <w:kern w:val="0"/>
                <w:szCs w:val="21"/>
                <w:lang w:bidi="ar"/>
              </w:rPr>
              <w:t>万元GDP综合能耗（吨标煤/万元）</w:t>
            </w:r>
          </w:p>
        </w:tc>
        <w:tc>
          <w:tcPr>
            <w:tcW w:w="10773" w:type="dxa"/>
          </w:tcPr>
          <w:p w:rsidR="00F22881" w:rsidRPr="00D353CA" w:rsidRDefault="00F22881" w:rsidP="00F22881">
            <w:pPr>
              <w:spacing w:line="320" w:lineRule="exact"/>
              <w:rPr>
                <w:rFonts w:ascii="仿宋" w:eastAsia="仿宋" w:hAnsi="仿宋" w:cs="仿宋"/>
                <w:spacing w:val="-8"/>
                <w:szCs w:val="21"/>
              </w:rPr>
            </w:pPr>
            <w:r w:rsidRPr="00F22881">
              <w:rPr>
                <w:rFonts w:ascii="仿宋" w:eastAsia="仿宋" w:hAnsi="仿宋" w:cs="仿宋" w:hint="eastAsia"/>
                <w:spacing w:val="-8"/>
                <w:szCs w:val="21"/>
              </w:rPr>
              <w:t>是指</w:t>
            </w:r>
            <w:r w:rsidRPr="00D353CA">
              <w:rPr>
                <w:rFonts w:ascii="仿宋" w:eastAsia="仿宋" w:hAnsi="仿宋" w:cs="仿宋" w:hint="eastAsia"/>
                <w:spacing w:val="-8"/>
                <w:szCs w:val="21"/>
              </w:rPr>
              <w:t>在行政区域内，</w:t>
            </w:r>
            <w:r w:rsidRPr="00F22881">
              <w:rPr>
                <w:rFonts w:ascii="仿宋" w:eastAsia="仿宋" w:hAnsi="仿宋" w:cs="仿宋" w:hint="eastAsia"/>
                <w:spacing w:val="-8"/>
                <w:szCs w:val="21"/>
              </w:rPr>
              <w:t>创造每一万元所耗费的综合能源消费量，公式：万元GDP能耗=综合能源消费量（吨标准煤)/GDP（万元），</w:t>
            </w:r>
            <w:proofErr w:type="gramStart"/>
            <w:r w:rsidRPr="00F22881">
              <w:rPr>
                <w:rFonts w:ascii="仿宋" w:eastAsia="仿宋" w:hAnsi="仿宋" w:cs="仿宋" w:hint="eastAsia"/>
                <w:spacing w:val="-8"/>
                <w:szCs w:val="21"/>
              </w:rPr>
              <w:t>单位为吨标准煤</w:t>
            </w:r>
            <w:proofErr w:type="gramEnd"/>
            <w:r w:rsidRPr="00F22881">
              <w:rPr>
                <w:rFonts w:ascii="仿宋" w:eastAsia="仿宋" w:hAnsi="仿宋" w:cs="仿宋" w:hint="eastAsia"/>
                <w:spacing w:val="-8"/>
                <w:szCs w:val="21"/>
              </w:rPr>
              <w:t>/万元</w:t>
            </w:r>
            <w:r>
              <w:rPr>
                <w:rFonts w:ascii="仿宋" w:eastAsia="仿宋" w:hAnsi="仿宋" w:cs="仿宋" w:hint="eastAsia"/>
                <w:spacing w:val="-8"/>
                <w:szCs w:val="21"/>
              </w:rPr>
              <w:t>。</w:t>
            </w:r>
            <w:r w:rsidRPr="00F22881">
              <w:rPr>
                <w:rFonts w:ascii="仿宋" w:eastAsia="仿宋" w:hAnsi="仿宋" w:cs="仿宋" w:hint="eastAsia"/>
                <w:spacing w:val="-8"/>
                <w:szCs w:val="21"/>
              </w:rPr>
              <w:t>是综合反映一个地区能源利用效率的主要指标</w:t>
            </w:r>
            <w:r>
              <w:rPr>
                <w:rFonts w:ascii="仿宋" w:eastAsia="仿宋" w:hAnsi="仿宋" w:cs="仿宋" w:hint="eastAsia"/>
                <w:spacing w:val="-8"/>
                <w:szCs w:val="21"/>
              </w:rPr>
              <w:t>。</w:t>
            </w:r>
          </w:p>
        </w:tc>
      </w:tr>
      <w:tr w:rsidR="00D353CA" w:rsidTr="009F3799">
        <w:trPr>
          <w:cantSplit/>
        </w:trPr>
        <w:tc>
          <w:tcPr>
            <w:tcW w:w="675" w:type="dxa"/>
            <w:vMerge w:val="restart"/>
            <w:vAlign w:val="center"/>
          </w:tcPr>
          <w:p w:rsidR="00D353CA" w:rsidRDefault="00D353CA" w:rsidP="00594FF5">
            <w:pPr>
              <w:jc w:val="center"/>
              <w:rPr>
                <w:rFonts w:ascii="宋体" w:hAnsi="宋体" w:cs="宋体"/>
                <w:b/>
              </w:rPr>
            </w:pPr>
            <w:r>
              <w:rPr>
                <w:rFonts w:ascii="宋体" w:hAnsi="宋体" w:cs="宋体" w:hint="eastAsia"/>
                <w:b/>
              </w:rPr>
              <w:t>民生改善</w:t>
            </w:r>
          </w:p>
        </w:tc>
        <w:tc>
          <w:tcPr>
            <w:tcW w:w="709" w:type="dxa"/>
            <w:vAlign w:val="center"/>
          </w:tcPr>
          <w:p w:rsidR="00D353CA" w:rsidRDefault="00F22881" w:rsidP="00594FF5">
            <w:pPr>
              <w:jc w:val="center"/>
              <w:rPr>
                <w:rFonts w:ascii="宋体" w:hAnsi="宋体" w:cs="宋体"/>
                <w:bCs/>
                <w:szCs w:val="21"/>
              </w:rPr>
            </w:pPr>
            <w:r>
              <w:rPr>
                <w:rFonts w:ascii="宋体" w:hAnsi="宋体" w:cs="宋体" w:hint="eastAsia"/>
                <w:bCs/>
                <w:szCs w:val="21"/>
              </w:rPr>
              <w:t>13</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居民人均可支配</w:t>
            </w:r>
            <w:r w:rsidRPr="009F3799">
              <w:rPr>
                <w:rFonts w:ascii="宋体" w:hAnsi="宋体" w:cs="宋体" w:hint="eastAsia"/>
                <w:kern w:val="0"/>
                <w:szCs w:val="21"/>
                <w:lang w:bidi="ar"/>
              </w:rPr>
              <w:t>收入（元/人）</w:t>
            </w:r>
          </w:p>
        </w:tc>
        <w:tc>
          <w:tcPr>
            <w:tcW w:w="10773" w:type="dxa"/>
          </w:tcPr>
          <w:p w:rsidR="00D353CA" w:rsidRPr="00D353CA" w:rsidRDefault="00D353CA" w:rsidP="00FB6457">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居民人均可用于最终消费支出和储蓄的总和，即居民人均可用于自由支配的收入。既包括现金收入，也包括实物收入。按照收入的来源，人均可支配收入包含四项，分别为：工资性收入、经营净收入、财产净收入和转移净收入。即反映了地区内居民平均可支配收入水平，也反映了居民即期消费能力，是国民经济决策的重要依据。</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F22881" w:rsidP="00594FF5">
            <w:pPr>
              <w:jc w:val="center"/>
              <w:rPr>
                <w:rFonts w:ascii="宋体" w:hAnsi="宋体" w:cs="宋体"/>
                <w:bCs/>
                <w:szCs w:val="21"/>
              </w:rPr>
            </w:pPr>
            <w:r>
              <w:rPr>
                <w:rFonts w:ascii="宋体" w:hAnsi="宋体" w:cs="宋体" w:hint="eastAsia"/>
                <w:bCs/>
                <w:szCs w:val="21"/>
              </w:rPr>
              <w:t>14</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人均社会消费品零售额（元/人）</w:t>
            </w:r>
          </w:p>
        </w:tc>
        <w:tc>
          <w:tcPr>
            <w:tcW w:w="10773" w:type="dxa"/>
          </w:tcPr>
          <w:p w:rsidR="00D353CA" w:rsidRPr="00D353CA" w:rsidRDefault="00D353CA" w:rsidP="00FB6457">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在行政区域内，企业（单位、个体户）通过交易直接售给个人、社会集团非生产、非经营用的实物商品人均金额，以及提供餐饮服务所取得的人均收入金额。个人包括城乡居民和入境人员，社会集团包括机关、社会团体、部队、学校、企事业单位、居委会或村委会等。反映了一定时期内人民物质文化生活水平的提高情况，同时也反映了社会商品购买力的实现程度和零售市场的规模状况。</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F22881" w:rsidP="00594FF5">
            <w:pPr>
              <w:jc w:val="center"/>
              <w:rPr>
                <w:rFonts w:ascii="宋体" w:hAnsi="宋体" w:cs="宋体"/>
                <w:bCs/>
                <w:szCs w:val="21"/>
              </w:rPr>
            </w:pPr>
            <w:r>
              <w:rPr>
                <w:rFonts w:ascii="宋体" w:hAnsi="宋体" w:cs="宋体" w:hint="eastAsia"/>
                <w:bCs/>
                <w:szCs w:val="21"/>
              </w:rPr>
              <w:t>15</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人口平均预期寿命（岁）</w:t>
            </w:r>
          </w:p>
        </w:tc>
        <w:tc>
          <w:tcPr>
            <w:tcW w:w="10773" w:type="dxa"/>
          </w:tcPr>
          <w:p w:rsidR="00D353CA" w:rsidRPr="00D353CA" w:rsidRDefault="00D353CA"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是指行政区域内，同时出生的一代人活满x岁时，尚能生存的平均年数。是衡量地区人口健康状况的重要指标之一，也是衡量地区经济社会发展水平的综合指标。</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F22881" w:rsidP="00594FF5">
            <w:pPr>
              <w:jc w:val="center"/>
              <w:rPr>
                <w:rFonts w:ascii="宋体" w:hAnsi="宋体" w:cs="宋体"/>
                <w:bCs/>
                <w:szCs w:val="21"/>
              </w:rPr>
            </w:pPr>
            <w:r>
              <w:rPr>
                <w:rFonts w:ascii="宋体" w:hAnsi="宋体" w:cs="宋体" w:hint="eastAsia"/>
                <w:bCs/>
                <w:szCs w:val="21"/>
              </w:rPr>
              <w:t>16</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每万人刑事案件发生率（起/万人）</w:t>
            </w:r>
          </w:p>
        </w:tc>
        <w:tc>
          <w:tcPr>
            <w:tcW w:w="10773" w:type="dxa"/>
          </w:tcPr>
          <w:p w:rsidR="00D353CA" w:rsidRPr="00D353CA" w:rsidRDefault="00D353CA" w:rsidP="00F6628C">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在一定时期内每万人口中发生的刑事案件数。其中刑事案件主要包括八大类暴力性案件（杀人、抢劫、伤害、强奸、放火、爆炸、劫持、绑架），是各类犯罪中对社会安全和群众安全感影响最严重的案件。反映一个地区的社会治安状况。</w:t>
            </w:r>
          </w:p>
        </w:tc>
      </w:tr>
      <w:tr w:rsidR="00D353CA" w:rsidTr="009F3799">
        <w:trPr>
          <w:cantSplit/>
        </w:trPr>
        <w:tc>
          <w:tcPr>
            <w:tcW w:w="675" w:type="dxa"/>
            <w:vMerge/>
            <w:vAlign w:val="center"/>
          </w:tcPr>
          <w:p w:rsidR="00D353CA" w:rsidRDefault="00D353CA" w:rsidP="00594FF5">
            <w:pPr>
              <w:spacing w:line="320" w:lineRule="exact"/>
              <w:jc w:val="center"/>
              <w:rPr>
                <w:rFonts w:ascii="宋体" w:hAnsi="宋体" w:cs="宋体"/>
                <w:b/>
              </w:rPr>
            </w:pPr>
          </w:p>
        </w:tc>
        <w:tc>
          <w:tcPr>
            <w:tcW w:w="709" w:type="dxa"/>
            <w:vAlign w:val="center"/>
          </w:tcPr>
          <w:p w:rsidR="00D353CA" w:rsidRDefault="00F22881" w:rsidP="00594FF5">
            <w:pPr>
              <w:spacing w:line="320" w:lineRule="exact"/>
              <w:jc w:val="center"/>
              <w:rPr>
                <w:rFonts w:ascii="宋体" w:hAnsi="宋体" w:cs="宋体"/>
                <w:bCs/>
                <w:szCs w:val="21"/>
              </w:rPr>
            </w:pPr>
            <w:r>
              <w:rPr>
                <w:rFonts w:ascii="宋体" w:hAnsi="宋体" w:cs="宋体" w:hint="eastAsia"/>
                <w:bCs/>
                <w:szCs w:val="21"/>
              </w:rPr>
              <w:t>17</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szCs w:val="21"/>
              </w:rPr>
              <w:t>各类收养性社会福利单位床位数（张）</w:t>
            </w:r>
          </w:p>
        </w:tc>
        <w:tc>
          <w:tcPr>
            <w:tcW w:w="10773" w:type="dxa"/>
          </w:tcPr>
          <w:p w:rsidR="00D353CA" w:rsidRPr="00D353CA" w:rsidRDefault="00D353CA" w:rsidP="00F6628C">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是指行政区域内，提供食宿，不以盈利为目的收养性社会福利服务机构的床位数。反映社会福利设施的状况。</w:t>
            </w:r>
          </w:p>
        </w:tc>
      </w:tr>
      <w:tr w:rsidR="00D353CA" w:rsidTr="00F22881">
        <w:trPr>
          <w:cantSplit/>
          <w:trHeight w:val="720"/>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F22881" w:rsidP="00594FF5">
            <w:pPr>
              <w:jc w:val="center"/>
              <w:rPr>
                <w:rFonts w:ascii="宋体" w:hAnsi="宋体" w:cs="宋体"/>
                <w:bCs/>
                <w:szCs w:val="21"/>
              </w:rPr>
            </w:pPr>
            <w:r>
              <w:rPr>
                <w:rFonts w:ascii="宋体" w:hAnsi="宋体" w:cs="宋体" w:hint="eastAsia"/>
                <w:bCs/>
                <w:szCs w:val="21"/>
              </w:rPr>
              <w:t>18</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基本养老保险参保率（%）</w:t>
            </w:r>
          </w:p>
        </w:tc>
        <w:tc>
          <w:tcPr>
            <w:tcW w:w="10773" w:type="dxa"/>
          </w:tcPr>
          <w:p w:rsidR="00D353CA" w:rsidRPr="00D353CA" w:rsidRDefault="00D353CA"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是指行政区域内，城市和农村社会养老保险参保人数与地区内常住人口人数的比。反映了地区社会保障能力和社会稳定性。</w:t>
            </w:r>
          </w:p>
        </w:tc>
      </w:tr>
      <w:tr w:rsidR="00F22881" w:rsidTr="00F22881">
        <w:trPr>
          <w:cantSplit/>
          <w:trHeight w:val="325"/>
        </w:trPr>
        <w:tc>
          <w:tcPr>
            <w:tcW w:w="675" w:type="dxa"/>
            <w:vMerge/>
            <w:vAlign w:val="center"/>
          </w:tcPr>
          <w:p w:rsidR="00F22881" w:rsidRDefault="00F22881" w:rsidP="00594FF5">
            <w:pPr>
              <w:jc w:val="center"/>
              <w:rPr>
                <w:rFonts w:ascii="宋体" w:hAnsi="宋体" w:cs="宋体"/>
                <w:b/>
              </w:rPr>
            </w:pPr>
          </w:p>
        </w:tc>
        <w:tc>
          <w:tcPr>
            <w:tcW w:w="709" w:type="dxa"/>
            <w:vAlign w:val="center"/>
          </w:tcPr>
          <w:p w:rsidR="00F22881" w:rsidRDefault="00F22881" w:rsidP="00594FF5">
            <w:pPr>
              <w:jc w:val="center"/>
              <w:rPr>
                <w:rFonts w:ascii="宋体" w:hAnsi="宋体" w:cs="宋体"/>
                <w:bCs/>
                <w:szCs w:val="21"/>
              </w:rPr>
            </w:pPr>
            <w:r>
              <w:rPr>
                <w:rFonts w:ascii="宋体" w:hAnsi="宋体" w:cs="宋体" w:hint="eastAsia"/>
                <w:bCs/>
                <w:szCs w:val="21"/>
              </w:rPr>
              <w:t>19</w:t>
            </w:r>
          </w:p>
        </w:tc>
        <w:tc>
          <w:tcPr>
            <w:tcW w:w="2552" w:type="dxa"/>
            <w:vAlign w:val="center"/>
          </w:tcPr>
          <w:p w:rsidR="00F22881" w:rsidRDefault="00F22881" w:rsidP="00F22881">
            <w:pPr>
              <w:widowControl/>
              <w:textAlignment w:val="center"/>
              <w:rPr>
                <w:rFonts w:ascii="宋体" w:hAnsi="宋体" w:cs="宋体"/>
                <w:kern w:val="0"/>
                <w:szCs w:val="21"/>
                <w:lang w:bidi="ar"/>
              </w:rPr>
            </w:pPr>
            <w:r w:rsidRPr="00F22881">
              <w:rPr>
                <w:rFonts w:ascii="宋体" w:hAnsi="宋体" w:cs="宋体"/>
                <w:kern w:val="0"/>
                <w:szCs w:val="21"/>
                <w:lang w:bidi="ar"/>
              </w:rPr>
              <w:t>千人医疗机构床位数（张）</w:t>
            </w:r>
          </w:p>
        </w:tc>
        <w:tc>
          <w:tcPr>
            <w:tcW w:w="10773" w:type="dxa"/>
          </w:tcPr>
          <w:p w:rsidR="00F22881" w:rsidRPr="00F22881" w:rsidRDefault="007470B8" w:rsidP="007470B8">
            <w:pPr>
              <w:spacing w:line="320" w:lineRule="exact"/>
              <w:rPr>
                <w:rFonts w:ascii="宋体" w:hAnsi="宋体" w:cs="宋体"/>
                <w:kern w:val="0"/>
                <w:szCs w:val="21"/>
                <w:lang w:bidi="ar"/>
              </w:rPr>
            </w:pPr>
            <w:r w:rsidRPr="00D353CA">
              <w:rPr>
                <w:rFonts w:ascii="仿宋" w:eastAsia="仿宋" w:hAnsi="仿宋" w:cs="仿宋" w:hint="eastAsia"/>
                <w:spacing w:val="-8"/>
                <w:szCs w:val="21"/>
              </w:rPr>
              <w:t>是指行政区域内，</w:t>
            </w:r>
            <w:r w:rsidRPr="007470B8">
              <w:rPr>
                <w:rFonts w:ascii="仿宋" w:eastAsia="仿宋" w:hAnsi="仿宋" w:cs="仿宋" w:hint="eastAsia"/>
                <w:spacing w:val="-8"/>
                <w:szCs w:val="21"/>
              </w:rPr>
              <w:t>每千人口</w:t>
            </w:r>
            <w:r>
              <w:rPr>
                <w:rFonts w:ascii="仿宋" w:eastAsia="仿宋" w:hAnsi="仿宋" w:cs="仿宋" w:hint="eastAsia"/>
                <w:spacing w:val="-8"/>
                <w:szCs w:val="21"/>
              </w:rPr>
              <w:t>拥有</w:t>
            </w:r>
            <w:r w:rsidRPr="007470B8">
              <w:rPr>
                <w:rFonts w:ascii="仿宋" w:eastAsia="仿宋" w:hAnsi="仿宋" w:cs="仿宋" w:hint="eastAsia"/>
                <w:spacing w:val="-8"/>
                <w:szCs w:val="21"/>
              </w:rPr>
              <w:t>医疗卫生机构床位</w:t>
            </w:r>
            <w:r>
              <w:rPr>
                <w:rFonts w:ascii="仿宋" w:eastAsia="仿宋" w:hAnsi="仿宋" w:cs="仿宋" w:hint="eastAsia"/>
                <w:spacing w:val="-8"/>
                <w:szCs w:val="21"/>
              </w:rPr>
              <w:t>数量，计算公式：</w:t>
            </w:r>
            <w:r w:rsidRPr="007470B8">
              <w:rPr>
                <w:rFonts w:ascii="仿宋" w:eastAsia="仿宋" w:hAnsi="仿宋" w:cs="仿宋" w:hint="eastAsia"/>
                <w:spacing w:val="-8"/>
                <w:szCs w:val="21"/>
              </w:rPr>
              <w:t>每千人口医疗卫生机构床位=医疗卫生机构床位数/常住人口数×100%</w:t>
            </w:r>
            <w:r>
              <w:rPr>
                <w:rFonts w:ascii="仿宋" w:eastAsia="仿宋" w:hAnsi="仿宋" w:cs="仿宋" w:hint="eastAsia"/>
                <w:spacing w:val="-8"/>
                <w:szCs w:val="21"/>
              </w:rPr>
              <w:t>。指标</w:t>
            </w:r>
            <w:r w:rsidRPr="007470B8">
              <w:rPr>
                <w:rFonts w:ascii="仿宋" w:eastAsia="仿宋" w:hAnsi="仿宋" w:cs="仿宋" w:hint="eastAsia"/>
                <w:spacing w:val="-8"/>
                <w:szCs w:val="21"/>
              </w:rPr>
              <w:t>体现了</w:t>
            </w:r>
            <w:r w:rsidR="00967F22" w:rsidRPr="007470B8">
              <w:rPr>
                <w:rFonts w:ascii="仿宋" w:eastAsia="仿宋" w:hAnsi="仿宋" w:cs="仿宋" w:hint="eastAsia"/>
                <w:spacing w:val="-8"/>
                <w:szCs w:val="21"/>
              </w:rPr>
              <w:t>医疗卫生机构</w:t>
            </w:r>
            <w:r w:rsidRPr="007470B8">
              <w:rPr>
                <w:rFonts w:ascii="仿宋" w:eastAsia="仿宋" w:hAnsi="仿宋" w:cs="仿宋" w:hint="eastAsia"/>
                <w:spacing w:val="-8"/>
                <w:szCs w:val="21"/>
              </w:rPr>
              <w:t>床位的分布情况,也反映了医疗卫生服务的可及性</w:t>
            </w:r>
            <w:r>
              <w:rPr>
                <w:rFonts w:ascii="仿宋" w:eastAsia="仿宋" w:hAnsi="仿宋" w:cs="仿宋" w:hint="eastAsia"/>
                <w:spacing w:val="-8"/>
                <w:szCs w:val="21"/>
              </w:rPr>
              <w:t>。</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7470B8" w:rsidP="00594FF5">
            <w:pPr>
              <w:jc w:val="center"/>
              <w:rPr>
                <w:rFonts w:ascii="宋体" w:hAnsi="宋体" w:cs="宋体"/>
                <w:bCs/>
                <w:szCs w:val="21"/>
              </w:rPr>
            </w:pPr>
            <w:r>
              <w:rPr>
                <w:rFonts w:ascii="宋体" w:hAnsi="宋体" w:cs="宋体" w:hint="eastAsia"/>
                <w:bCs/>
                <w:szCs w:val="21"/>
              </w:rPr>
              <w:t>20</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新增劳动力平均受教育年限（年）</w:t>
            </w:r>
          </w:p>
        </w:tc>
        <w:tc>
          <w:tcPr>
            <w:tcW w:w="10773" w:type="dxa"/>
          </w:tcPr>
          <w:p w:rsidR="00D353CA" w:rsidRPr="00D353CA" w:rsidRDefault="00D353CA" w:rsidP="00DC1AA0">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是指行政区域内，新增达到劳动年龄（16岁）人口平均受教育的年限。反映劳动力文化教育程度的综合指标，表现劳动力文化教育程度的现状和发展变化。</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7470B8" w:rsidP="00594FF5">
            <w:pPr>
              <w:jc w:val="center"/>
              <w:rPr>
                <w:rFonts w:ascii="宋体" w:hAnsi="宋体" w:cs="宋体"/>
                <w:bCs/>
                <w:szCs w:val="21"/>
              </w:rPr>
            </w:pPr>
            <w:r>
              <w:rPr>
                <w:rFonts w:ascii="宋体" w:hAnsi="宋体" w:cs="宋体" w:hint="eastAsia"/>
                <w:bCs/>
                <w:szCs w:val="21"/>
              </w:rPr>
              <w:t>21</w:t>
            </w:r>
          </w:p>
        </w:tc>
        <w:tc>
          <w:tcPr>
            <w:tcW w:w="2552" w:type="dxa"/>
            <w:vAlign w:val="center"/>
          </w:tcPr>
          <w:p w:rsidR="00D353CA" w:rsidRDefault="00D353CA" w:rsidP="00D353CA">
            <w:pPr>
              <w:widowControl/>
              <w:textAlignment w:val="center"/>
              <w:rPr>
                <w:rFonts w:ascii="宋体" w:hAnsi="宋体" w:cs="宋体"/>
                <w:szCs w:val="21"/>
              </w:rPr>
            </w:pPr>
            <w:r>
              <w:rPr>
                <w:rFonts w:ascii="宋体" w:hAnsi="宋体" w:cs="宋体" w:hint="eastAsia"/>
                <w:kern w:val="0"/>
                <w:szCs w:val="21"/>
                <w:lang w:bidi="ar"/>
              </w:rPr>
              <w:t>城镇化率（%）</w:t>
            </w:r>
          </w:p>
        </w:tc>
        <w:tc>
          <w:tcPr>
            <w:tcW w:w="10773" w:type="dxa"/>
          </w:tcPr>
          <w:p w:rsidR="00D353CA" w:rsidRPr="00D353CA" w:rsidRDefault="00D353CA" w:rsidP="007B470B">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是指行政区域内，城镇人口占常驻人口（包括农业与非农业）的比重，一般以人口城镇化作为城镇化率。反映地区城镇现代化水平。</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7470B8" w:rsidP="00594FF5">
            <w:pPr>
              <w:spacing w:line="320" w:lineRule="exact"/>
              <w:jc w:val="center"/>
              <w:rPr>
                <w:rFonts w:ascii="宋体" w:hAnsi="宋体" w:cs="宋体"/>
                <w:bCs/>
                <w:szCs w:val="21"/>
              </w:rPr>
            </w:pPr>
            <w:r>
              <w:rPr>
                <w:rFonts w:ascii="宋体" w:hAnsi="宋体" w:cs="宋体" w:hint="eastAsia"/>
                <w:bCs/>
                <w:szCs w:val="21"/>
              </w:rPr>
              <w:t>22</w:t>
            </w:r>
          </w:p>
        </w:tc>
        <w:tc>
          <w:tcPr>
            <w:tcW w:w="2552" w:type="dxa"/>
            <w:vAlign w:val="center"/>
          </w:tcPr>
          <w:p w:rsidR="00D353CA" w:rsidRDefault="00D353CA" w:rsidP="00D353CA">
            <w:pPr>
              <w:widowControl/>
              <w:textAlignment w:val="center"/>
              <w:rPr>
                <w:rFonts w:ascii="宋体" w:hAnsi="宋体" w:cs="宋体"/>
                <w:kern w:val="0"/>
                <w:szCs w:val="21"/>
                <w:lang w:bidi="ar"/>
              </w:rPr>
            </w:pPr>
            <w:r>
              <w:rPr>
                <w:rFonts w:ascii="宋体" w:hAnsi="宋体" w:cs="宋体" w:hint="eastAsia"/>
                <w:kern w:val="0"/>
                <w:szCs w:val="21"/>
                <w:lang w:bidi="ar"/>
              </w:rPr>
              <w:t>人均公路通车里程（公里/人）</w:t>
            </w:r>
          </w:p>
        </w:tc>
        <w:tc>
          <w:tcPr>
            <w:tcW w:w="10773" w:type="dxa"/>
          </w:tcPr>
          <w:p w:rsidR="00D353CA" w:rsidRPr="00D353CA" w:rsidRDefault="00D353CA"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实际达到交通部制定的公路工程技术标准规定的等级公路长度。它包括大中城市的郊区以及通过小城镇街道的公路里程，也包括桥梁、渡口的长度，但不包括城市街道以及厂矿、林区和农业生产用道的里程。两条或多条公路</w:t>
            </w:r>
            <w:proofErr w:type="gramStart"/>
            <w:r w:rsidRPr="00D353CA">
              <w:rPr>
                <w:rFonts w:ascii="仿宋" w:eastAsia="仿宋" w:hAnsi="仿宋" w:cs="仿宋" w:hint="eastAsia"/>
                <w:spacing w:val="-8"/>
                <w:szCs w:val="21"/>
              </w:rPr>
              <w:t>共同径由同</w:t>
            </w:r>
            <w:proofErr w:type="gramEnd"/>
            <w:r w:rsidRPr="00D353CA">
              <w:rPr>
                <w:rFonts w:ascii="仿宋" w:eastAsia="仿宋" w:hAnsi="仿宋" w:cs="仿宋" w:hint="eastAsia"/>
                <w:spacing w:val="-8"/>
                <w:szCs w:val="21"/>
              </w:rPr>
              <w:t>一路段，只计算一次，不得重复计算里程长度。反映公路建设发展规模的重要指标，也是计算运输网密度等指标的资料。</w:t>
            </w:r>
          </w:p>
        </w:tc>
      </w:tr>
      <w:tr w:rsidR="00D353CA" w:rsidTr="009F3799">
        <w:trPr>
          <w:cantSplit/>
        </w:trPr>
        <w:tc>
          <w:tcPr>
            <w:tcW w:w="675" w:type="dxa"/>
            <w:vMerge/>
            <w:vAlign w:val="center"/>
          </w:tcPr>
          <w:p w:rsidR="00D353CA" w:rsidRDefault="00D353CA" w:rsidP="00594FF5">
            <w:pPr>
              <w:jc w:val="center"/>
              <w:rPr>
                <w:rFonts w:ascii="宋体" w:hAnsi="宋体" w:cs="宋体"/>
                <w:b/>
              </w:rPr>
            </w:pPr>
          </w:p>
        </w:tc>
        <w:tc>
          <w:tcPr>
            <w:tcW w:w="709" w:type="dxa"/>
            <w:vAlign w:val="center"/>
          </w:tcPr>
          <w:p w:rsidR="00D353CA" w:rsidRDefault="007470B8" w:rsidP="00594FF5">
            <w:pPr>
              <w:spacing w:line="320" w:lineRule="exact"/>
              <w:jc w:val="center"/>
              <w:rPr>
                <w:rFonts w:ascii="宋体" w:hAnsi="宋体" w:cs="宋体"/>
                <w:bCs/>
                <w:szCs w:val="21"/>
              </w:rPr>
            </w:pPr>
            <w:r>
              <w:rPr>
                <w:rFonts w:ascii="宋体" w:hAnsi="宋体" w:cs="宋体" w:hint="eastAsia"/>
                <w:bCs/>
                <w:szCs w:val="21"/>
              </w:rPr>
              <w:t>23</w:t>
            </w:r>
          </w:p>
        </w:tc>
        <w:tc>
          <w:tcPr>
            <w:tcW w:w="2552" w:type="dxa"/>
            <w:vAlign w:val="center"/>
          </w:tcPr>
          <w:p w:rsidR="00D353CA" w:rsidRDefault="00D353CA" w:rsidP="00D353CA">
            <w:pPr>
              <w:widowControl/>
              <w:textAlignment w:val="center"/>
              <w:rPr>
                <w:rFonts w:ascii="宋体" w:hAnsi="宋体" w:cs="宋体"/>
                <w:kern w:val="0"/>
                <w:szCs w:val="21"/>
                <w:lang w:bidi="ar"/>
              </w:rPr>
            </w:pPr>
            <w:r>
              <w:rPr>
                <w:rFonts w:ascii="宋体" w:hAnsi="宋体" w:cs="宋体" w:hint="eastAsia"/>
                <w:kern w:val="0"/>
                <w:szCs w:val="21"/>
                <w:lang w:bidi="ar"/>
              </w:rPr>
              <w:t>人均公共文化设施面积（平方米/人）</w:t>
            </w:r>
          </w:p>
        </w:tc>
        <w:tc>
          <w:tcPr>
            <w:tcW w:w="10773" w:type="dxa"/>
          </w:tcPr>
          <w:p w:rsidR="00D353CA" w:rsidRPr="00D353CA" w:rsidRDefault="00D353CA" w:rsidP="00FA428B">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是指行政区域内，每人拥有的公益性文化设施和体育设施的建设用地面积。公益性文化设施指按照要求城市必须设置的图书馆、美术馆、博物馆、文化馆、科技馆等设施。反映了地区居民的生活质量与宜居环境。</w:t>
            </w:r>
          </w:p>
        </w:tc>
      </w:tr>
      <w:tr w:rsidR="007470B8" w:rsidTr="009F3799">
        <w:trPr>
          <w:cantSplit/>
        </w:trPr>
        <w:tc>
          <w:tcPr>
            <w:tcW w:w="675" w:type="dxa"/>
            <w:vMerge w:val="restart"/>
            <w:vAlign w:val="center"/>
          </w:tcPr>
          <w:p w:rsidR="007470B8" w:rsidRDefault="007470B8" w:rsidP="00594FF5">
            <w:pPr>
              <w:spacing w:line="320" w:lineRule="exact"/>
              <w:jc w:val="center"/>
              <w:rPr>
                <w:rFonts w:ascii="宋体" w:hAnsi="宋体" w:cs="宋体"/>
                <w:b/>
                <w:szCs w:val="21"/>
              </w:rPr>
            </w:pPr>
            <w:r>
              <w:rPr>
                <w:rFonts w:ascii="宋体" w:hAnsi="宋体" w:cs="宋体" w:hint="eastAsia"/>
                <w:b/>
                <w:szCs w:val="21"/>
              </w:rPr>
              <w:t>资源环境</w:t>
            </w:r>
          </w:p>
        </w:tc>
        <w:tc>
          <w:tcPr>
            <w:tcW w:w="709" w:type="dxa"/>
            <w:vAlign w:val="center"/>
          </w:tcPr>
          <w:p w:rsidR="007470B8" w:rsidRDefault="007470B8" w:rsidP="00594FF5">
            <w:pPr>
              <w:spacing w:line="320" w:lineRule="exact"/>
              <w:jc w:val="center"/>
              <w:rPr>
                <w:rFonts w:ascii="宋体" w:hAnsi="宋体" w:cs="宋体"/>
                <w:bCs/>
                <w:szCs w:val="21"/>
              </w:rPr>
            </w:pPr>
            <w:r>
              <w:rPr>
                <w:rFonts w:ascii="宋体" w:hAnsi="宋体" w:cs="宋体" w:hint="eastAsia"/>
                <w:bCs/>
                <w:szCs w:val="21"/>
              </w:rPr>
              <w:t>24</w:t>
            </w:r>
          </w:p>
        </w:tc>
        <w:tc>
          <w:tcPr>
            <w:tcW w:w="2552" w:type="dxa"/>
            <w:vAlign w:val="center"/>
          </w:tcPr>
          <w:p w:rsidR="007470B8" w:rsidRDefault="007470B8" w:rsidP="00D353CA">
            <w:pPr>
              <w:widowControl/>
              <w:textAlignment w:val="center"/>
              <w:rPr>
                <w:rFonts w:ascii="宋体" w:hAnsi="宋体" w:cs="宋体"/>
                <w:szCs w:val="21"/>
              </w:rPr>
            </w:pPr>
            <w:r>
              <w:rPr>
                <w:rFonts w:ascii="宋体" w:hAnsi="宋体" w:cs="宋体" w:hint="eastAsia"/>
                <w:kern w:val="0"/>
                <w:szCs w:val="21"/>
                <w:lang w:bidi="ar"/>
              </w:rPr>
              <w:t>森林覆盖率（%）</w:t>
            </w:r>
          </w:p>
        </w:tc>
        <w:tc>
          <w:tcPr>
            <w:tcW w:w="10773" w:type="dxa"/>
          </w:tcPr>
          <w:p w:rsidR="007470B8" w:rsidRPr="00D353CA" w:rsidRDefault="007470B8" w:rsidP="00FA428B">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是指行政区域内，森林面积</w:t>
            </w:r>
            <w:proofErr w:type="gramStart"/>
            <w:r w:rsidRPr="00D353CA">
              <w:rPr>
                <w:rFonts w:ascii="仿宋" w:eastAsia="仿宋" w:hAnsi="仿宋" w:cs="仿宋" w:hint="eastAsia"/>
                <w:spacing w:val="-8"/>
                <w:szCs w:val="21"/>
              </w:rPr>
              <w:t>占区域</w:t>
            </w:r>
            <w:proofErr w:type="gramEnd"/>
            <w:r w:rsidRPr="00D353CA">
              <w:rPr>
                <w:rFonts w:ascii="仿宋" w:eastAsia="仿宋" w:hAnsi="仿宋" w:cs="仿宋" w:hint="eastAsia"/>
                <w:spacing w:val="-8"/>
                <w:szCs w:val="21"/>
              </w:rPr>
              <w:t>土地总面积的百分比。反映森林资源的丰富程度和生态平衡状况的重要指标。</w:t>
            </w:r>
          </w:p>
        </w:tc>
      </w:tr>
      <w:tr w:rsidR="007470B8" w:rsidTr="009F3799">
        <w:trPr>
          <w:cantSplit/>
        </w:trPr>
        <w:tc>
          <w:tcPr>
            <w:tcW w:w="675" w:type="dxa"/>
            <w:vMerge/>
            <w:vAlign w:val="center"/>
          </w:tcPr>
          <w:p w:rsidR="007470B8" w:rsidRDefault="007470B8" w:rsidP="00594FF5">
            <w:pPr>
              <w:spacing w:line="320" w:lineRule="exact"/>
              <w:jc w:val="center"/>
              <w:rPr>
                <w:rFonts w:ascii="宋体" w:hAnsi="宋体" w:cs="宋体"/>
                <w:b/>
                <w:szCs w:val="21"/>
              </w:rPr>
            </w:pPr>
          </w:p>
        </w:tc>
        <w:tc>
          <w:tcPr>
            <w:tcW w:w="709" w:type="dxa"/>
            <w:vAlign w:val="center"/>
          </w:tcPr>
          <w:p w:rsidR="007470B8" w:rsidRDefault="00D11B26" w:rsidP="00594FF5">
            <w:pPr>
              <w:spacing w:line="320" w:lineRule="exact"/>
              <w:jc w:val="center"/>
              <w:rPr>
                <w:rFonts w:ascii="宋体" w:hAnsi="宋体" w:cs="宋体"/>
                <w:bCs/>
                <w:szCs w:val="21"/>
              </w:rPr>
            </w:pPr>
            <w:r>
              <w:rPr>
                <w:rFonts w:ascii="宋体" w:hAnsi="宋体" w:cs="宋体" w:hint="eastAsia"/>
                <w:bCs/>
                <w:szCs w:val="21"/>
              </w:rPr>
              <w:t>25</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地表水达到或好于Ⅲ类水体比例（%）</w:t>
            </w:r>
          </w:p>
        </w:tc>
        <w:tc>
          <w:tcPr>
            <w:tcW w:w="10773" w:type="dxa"/>
          </w:tcPr>
          <w:p w:rsidR="007470B8" w:rsidRPr="00D353CA" w:rsidRDefault="007470B8"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是指行政区域内，河流、湖泊以及冰川等可以逐年更新的动态地表水体，达到Ⅲ类水体以上的比例。反映水资源的丰富程度。</w:t>
            </w:r>
          </w:p>
        </w:tc>
      </w:tr>
      <w:tr w:rsidR="007470B8" w:rsidTr="009F3799">
        <w:trPr>
          <w:cantSplit/>
        </w:trPr>
        <w:tc>
          <w:tcPr>
            <w:tcW w:w="675" w:type="dxa"/>
            <w:vMerge/>
            <w:vAlign w:val="center"/>
          </w:tcPr>
          <w:p w:rsidR="007470B8" w:rsidRDefault="007470B8" w:rsidP="00594FF5">
            <w:pPr>
              <w:spacing w:line="320" w:lineRule="exact"/>
              <w:jc w:val="center"/>
              <w:rPr>
                <w:rFonts w:eastAsia="仿宋_GB2312"/>
                <w:b/>
                <w:szCs w:val="21"/>
              </w:rPr>
            </w:pPr>
          </w:p>
        </w:tc>
        <w:tc>
          <w:tcPr>
            <w:tcW w:w="709" w:type="dxa"/>
            <w:vAlign w:val="center"/>
          </w:tcPr>
          <w:p w:rsidR="007470B8" w:rsidRDefault="00D11B26" w:rsidP="00594FF5">
            <w:pPr>
              <w:spacing w:line="320" w:lineRule="exact"/>
              <w:jc w:val="center"/>
              <w:rPr>
                <w:rFonts w:ascii="宋体" w:hAnsi="宋体" w:cs="宋体"/>
                <w:bCs/>
                <w:szCs w:val="21"/>
              </w:rPr>
            </w:pPr>
            <w:r>
              <w:rPr>
                <w:rFonts w:ascii="宋体" w:hAnsi="宋体" w:cs="宋体" w:hint="eastAsia"/>
                <w:bCs/>
                <w:szCs w:val="21"/>
              </w:rPr>
              <w:t>26</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空气质量达到或好于二级以上天数（天）</w:t>
            </w:r>
          </w:p>
        </w:tc>
        <w:tc>
          <w:tcPr>
            <w:tcW w:w="10773" w:type="dxa"/>
          </w:tcPr>
          <w:p w:rsidR="007470B8" w:rsidRPr="00D353CA" w:rsidRDefault="007470B8"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是指行政区域内，空气环境质量达到国家有关功能区标准要求的天数，按《环境空气质量标准》（</w:t>
            </w:r>
            <w:r w:rsidRPr="00D353CA">
              <w:rPr>
                <w:rFonts w:ascii="仿宋" w:eastAsia="仿宋" w:hAnsi="仿宋" w:cs="仿宋"/>
                <w:spacing w:val="-8"/>
                <w:szCs w:val="21"/>
              </w:rPr>
              <w:t>GB 3095</w:t>
            </w:r>
            <w:r w:rsidRPr="00D353CA">
              <w:rPr>
                <w:rFonts w:ascii="仿宋" w:eastAsia="仿宋" w:hAnsi="仿宋" w:cs="仿宋" w:hint="eastAsia"/>
                <w:spacing w:val="-8"/>
                <w:szCs w:val="21"/>
              </w:rPr>
              <w:t>）现行标准执行。反映了地区空气环境污染程度。</w:t>
            </w:r>
          </w:p>
        </w:tc>
      </w:tr>
      <w:tr w:rsidR="007470B8" w:rsidTr="009F3799">
        <w:trPr>
          <w:cantSplit/>
        </w:trPr>
        <w:tc>
          <w:tcPr>
            <w:tcW w:w="675" w:type="dxa"/>
            <w:vMerge/>
            <w:vAlign w:val="center"/>
          </w:tcPr>
          <w:p w:rsidR="007470B8" w:rsidRDefault="007470B8" w:rsidP="00594FF5">
            <w:pPr>
              <w:spacing w:line="320" w:lineRule="exact"/>
              <w:jc w:val="center"/>
              <w:rPr>
                <w:rFonts w:eastAsia="仿宋_GB2312"/>
                <w:b/>
                <w:szCs w:val="21"/>
              </w:rPr>
            </w:pPr>
          </w:p>
        </w:tc>
        <w:tc>
          <w:tcPr>
            <w:tcW w:w="709" w:type="dxa"/>
            <w:vAlign w:val="center"/>
          </w:tcPr>
          <w:p w:rsidR="007470B8" w:rsidRDefault="00D11B26" w:rsidP="00594FF5">
            <w:pPr>
              <w:spacing w:line="320" w:lineRule="exact"/>
              <w:jc w:val="center"/>
              <w:rPr>
                <w:rFonts w:ascii="宋体" w:hAnsi="宋体" w:cs="宋体"/>
                <w:bCs/>
                <w:szCs w:val="21"/>
              </w:rPr>
            </w:pPr>
            <w:r>
              <w:rPr>
                <w:rFonts w:ascii="宋体" w:hAnsi="宋体" w:cs="宋体" w:hint="eastAsia"/>
                <w:bCs/>
                <w:szCs w:val="21"/>
              </w:rPr>
              <w:t>27</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一般工业固体废物综合利用率（%）</w:t>
            </w:r>
          </w:p>
        </w:tc>
        <w:tc>
          <w:tcPr>
            <w:tcW w:w="10773" w:type="dxa"/>
          </w:tcPr>
          <w:p w:rsidR="007470B8" w:rsidRPr="00D353CA" w:rsidRDefault="007470B8" w:rsidP="001F3602">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是指行政区域内，一般工业固体废物综合利用量占工业固体废物产生量(包括综合利用往年贮存量)的百分率。反映了地区工业固体废物污染程度和资源循环利用能力。</w:t>
            </w:r>
          </w:p>
        </w:tc>
      </w:tr>
      <w:tr w:rsidR="007470B8" w:rsidTr="009F3799">
        <w:trPr>
          <w:cantSplit/>
        </w:trPr>
        <w:tc>
          <w:tcPr>
            <w:tcW w:w="675" w:type="dxa"/>
            <w:vMerge/>
            <w:vAlign w:val="center"/>
          </w:tcPr>
          <w:p w:rsidR="007470B8" w:rsidRDefault="007470B8" w:rsidP="00594FF5">
            <w:pPr>
              <w:spacing w:line="320" w:lineRule="exact"/>
              <w:jc w:val="center"/>
              <w:rPr>
                <w:rFonts w:eastAsia="仿宋_GB2312"/>
                <w:b/>
                <w:szCs w:val="21"/>
              </w:rPr>
            </w:pPr>
          </w:p>
        </w:tc>
        <w:tc>
          <w:tcPr>
            <w:tcW w:w="709" w:type="dxa"/>
            <w:vAlign w:val="center"/>
          </w:tcPr>
          <w:p w:rsidR="007470B8" w:rsidRDefault="00E754CD" w:rsidP="00594FF5">
            <w:pPr>
              <w:spacing w:line="320" w:lineRule="exact"/>
              <w:jc w:val="center"/>
              <w:rPr>
                <w:rFonts w:ascii="宋体" w:hAnsi="宋体" w:cs="宋体"/>
                <w:bCs/>
                <w:szCs w:val="21"/>
              </w:rPr>
            </w:pPr>
            <w:r>
              <w:rPr>
                <w:rFonts w:ascii="宋体" w:hAnsi="宋体" w:cs="宋体" w:hint="eastAsia"/>
                <w:bCs/>
                <w:szCs w:val="21"/>
              </w:rPr>
              <w:t>28</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工业废水排放强度（排放量）（吨/万元）</w:t>
            </w:r>
          </w:p>
        </w:tc>
        <w:tc>
          <w:tcPr>
            <w:tcW w:w="10773" w:type="dxa"/>
          </w:tcPr>
          <w:p w:rsidR="007470B8" w:rsidRPr="00D353CA" w:rsidRDefault="007470B8" w:rsidP="00594FF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经过企业厂区所有排放口排到企业外部的工业废水量与GDP的比值。工业废水量包括生产废水、外排的直接冷却水、超标排放的矿井地下水和与工业废水混排的厂区生活污水，不包括外排的间接冷却水（清污不分流的间接冷却水应计算在内）。反映地区水资源工业污染程度和工业废水综合治理能力及水资源循环利用能力。</w:t>
            </w:r>
          </w:p>
        </w:tc>
      </w:tr>
      <w:tr w:rsidR="007470B8" w:rsidTr="009F3799">
        <w:trPr>
          <w:cantSplit/>
        </w:trPr>
        <w:tc>
          <w:tcPr>
            <w:tcW w:w="675" w:type="dxa"/>
            <w:vMerge/>
            <w:vAlign w:val="center"/>
          </w:tcPr>
          <w:p w:rsidR="007470B8" w:rsidRDefault="007470B8" w:rsidP="00594FF5">
            <w:pPr>
              <w:spacing w:line="320" w:lineRule="exact"/>
              <w:jc w:val="center"/>
              <w:rPr>
                <w:rFonts w:eastAsia="仿宋_GB2312"/>
                <w:b/>
                <w:szCs w:val="21"/>
              </w:rPr>
            </w:pPr>
          </w:p>
        </w:tc>
        <w:tc>
          <w:tcPr>
            <w:tcW w:w="709" w:type="dxa"/>
            <w:vAlign w:val="center"/>
          </w:tcPr>
          <w:p w:rsidR="007470B8" w:rsidRDefault="00D11B26" w:rsidP="00594FF5">
            <w:pPr>
              <w:spacing w:line="320" w:lineRule="exact"/>
              <w:jc w:val="center"/>
              <w:rPr>
                <w:rFonts w:ascii="宋体" w:hAnsi="宋体" w:cs="宋体"/>
                <w:bCs/>
                <w:szCs w:val="21"/>
              </w:rPr>
            </w:pPr>
            <w:r>
              <w:rPr>
                <w:rFonts w:ascii="宋体" w:hAnsi="宋体" w:cs="宋体" w:hint="eastAsia"/>
                <w:bCs/>
                <w:szCs w:val="21"/>
              </w:rPr>
              <w:t>29</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单位耕地面积化肥用量（公斤/亩）</w:t>
            </w:r>
          </w:p>
        </w:tc>
        <w:tc>
          <w:tcPr>
            <w:tcW w:w="10773" w:type="dxa"/>
          </w:tcPr>
          <w:p w:rsidR="007470B8" w:rsidRPr="00D353CA" w:rsidRDefault="007470B8" w:rsidP="00FF03D5">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是指行政区内，报告期内实际用于农业生产的主要化肥品种</w:t>
            </w:r>
            <w:r>
              <w:rPr>
                <w:rFonts w:ascii="仿宋" w:eastAsia="仿宋" w:hAnsi="仿宋" w:cs="仿宋" w:hint="eastAsia"/>
                <w:spacing w:val="-8"/>
                <w:szCs w:val="21"/>
              </w:rPr>
              <w:t>（20%）</w:t>
            </w:r>
            <w:r w:rsidRPr="00D353CA">
              <w:rPr>
                <w:rFonts w:ascii="仿宋" w:eastAsia="仿宋" w:hAnsi="仿宋" w:cs="仿宋" w:hint="eastAsia"/>
                <w:spacing w:val="-8"/>
                <w:szCs w:val="21"/>
              </w:rPr>
              <w:t>数量与辖区耕地面积的比值。单位耕地面积化肥用量=地区化肥施用总量/耕地面积。衡量地区合理利用农业土地资源，保持农业生态环境健康可持续发展的能力。</w:t>
            </w:r>
          </w:p>
        </w:tc>
      </w:tr>
      <w:tr w:rsidR="007470B8" w:rsidTr="009F3799">
        <w:trPr>
          <w:cantSplit/>
        </w:trPr>
        <w:tc>
          <w:tcPr>
            <w:tcW w:w="675" w:type="dxa"/>
            <w:vMerge/>
            <w:vAlign w:val="center"/>
          </w:tcPr>
          <w:p w:rsidR="007470B8" w:rsidRDefault="007470B8" w:rsidP="00594FF5">
            <w:pPr>
              <w:spacing w:line="320" w:lineRule="exact"/>
              <w:jc w:val="center"/>
              <w:rPr>
                <w:rFonts w:eastAsia="仿宋_GB2312"/>
                <w:b/>
                <w:szCs w:val="21"/>
              </w:rPr>
            </w:pPr>
          </w:p>
        </w:tc>
        <w:tc>
          <w:tcPr>
            <w:tcW w:w="709" w:type="dxa"/>
            <w:vAlign w:val="center"/>
          </w:tcPr>
          <w:p w:rsidR="007470B8" w:rsidRDefault="00D11B26" w:rsidP="00594FF5">
            <w:pPr>
              <w:spacing w:line="320" w:lineRule="exact"/>
              <w:jc w:val="center"/>
              <w:rPr>
                <w:rFonts w:ascii="宋体" w:hAnsi="宋体" w:cs="宋体"/>
                <w:bCs/>
                <w:szCs w:val="21"/>
              </w:rPr>
            </w:pPr>
            <w:r>
              <w:rPr>
                <w:rFonts w:ascii="宋体" w:hAnsi="宋体" w:cs="宋体" w:hint="eastAsia"/>
                <w:bCs/>
                <w:szCs w:val="21"/>
              </w:rPr>
              <w:t>30</w:t>
            </w:r>
          </w:p>
        </w:tc>
        <w:tc>
          <w:tcPr>
            <w:tcW w:w="2552" w:type="dxa"/>
            <w:vAlign w:val="center"/>
          </w:tcPr>
          <w:p w:rsidR="007470B8" w:rsidRDefault="007470B8" w:rsidP="00D353CA">
            <w:pPr>
              <w:widowControl/>
              <w:textAlignment w:val="center"/>
              <w:rPr>
                <w:rFonts w:ascii="宋体" w:hAnsi="宋体" w:cs="宋体"/>
                <w:kern w:val="0"/>
                <w:szCs w:val="21"/>
                <w:lang w:bidi="ar"/>
              </w:rPr>
            </w:pPr>
            <w:r>
              <w:rPr>
                <w:rFonts w:ascii="宋体" w:hAnsi="宋体" w:cs="宋体" w:hint="eastAsia"/>
                <w:kern w:val="0"/>
                <w:szCs w:val="21"/>
                <w:lang w:bidi="ar"/>
              </w:rPr>
              <w:t>规模化畜禽养殖场粪便综合利用率（%）</w:t>
            </w:r>
          </w:p>
        </w:tc>
        <w:tc>
          <w:tcPr>
            <w:tcW w:w="10773" w:type="dxa"/>
          </w:tcPr>
          <w:p w:rsidR="007470B8" w:rsidRPr="00D353CA" w:rsidRDefault="007470B8" w:rsidP="00967F22">
            <w:pPr>
              <w:spacing w:line="320" w:lineRule="exact"/>
              <w:rPr>
                <w:rFonts w:ascii="仿宋" w:eastAsia="仿宋" w:hAnsi="仿宋" w:cs="仿宋"/>
                <w:spacing w:val="-8"/>
                <w:szCs w:val="21"/>
              </w:rPr>
            </w:pPr>
            <w:r w:rsidRPr="00D353CA">
              <w:rPr>
                <w:rFonts w:ascii="仿宋" w:eastAsia="仿宋" w:hAnsi="仿宋" w:cs="仿宋" w:hint="eastAsia"/>
                <w:spacing w:val="-8"/>
                <w:szCs w:val="21"/>
              </w:rPr>
              <w:t>是指行政区域内，规模化畜禽养殖场综合利用的畜禽粪便量占畜禽粪便产生总量的比例。衡量地区规模化畜禽养殖场环境治理能力，保持农业生态环境健康可持续发展的能力。</w:t>
            </w:r>
          </w:p>
        </w:tc>
      </w:tr>
    </w:tbl>
    <w:p w:rsidR="00C83F9D" w:rsidRPr="00E36928" w:rsidRDefault="00C83F9D"/>
    <w:sectPr w:rsidR="00C83F9D" w:rsidRPr="00E36928" w:rsidSect="00F26FFD">
      <w:pgSz w:w="16838" w:h="11906" w:orient="landscape"/>
      <w:pgMar w:top="130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E2" w:rsidRDefault="001677E2" w:rsidP="005B4957">
      <w:r>
        <w:separator/>
      </w:r>
    </w:p>
  </w:endnote>
  <w:endnote w:type="continuationSeparator" w:id="0">
    <w:p w:rsidR="001677E2" w:rsidRDefault="001677E2" w:rsidP="005B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E2" w:rsidRDefault="001677E2" w:rsidP="005B4957">
      <w:r>
        <w:separator/>
      </w:r>
    </w:p>
  </w:footnote>
  <w:footnote w:type="continuationSeparator" w:id="0">
    <w:p w:rsidR="001677E2" w:rsidRDefault="001677E2" w:rsidP="005B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A5"/>
    <w:rsid w:val="000615C0"/>
    <w:rsid w:val="00121478"/>
    <w:rsid w:val="001677E2"/>
    <w:rsid w:val="001C0B70"/>
    <w:rsid w:val="001F3602"/>
    <w:rsid w:val="002530E2"/>
    <w:rsid w:val="003F1C45"/>
    <w:rsid w:val="00512A04"/>
    <w:rsid w:val="00532B02"/>
    <w:rsid w:val="00553243"/>
    <w:rsid w:val="005A64AD"/>
    <w:rsid w:val="005B4957"/>
    <w:rsid w:val="006A5554"/>
    <w:rsid w:val="007470B8"/>
    <w:rsid w:val="007B4333"/>
    <w:rsid w:val="007B470B"/>
    <w:rsid w:val="007B4892"/>
    <w:rsid w:val="007D4E97"/>
    <w:rsid w:val="00852495"/>
    <w:rsid w:val="0088417A"/>
    <w:rsid w:val="00894985"/>
    <w:rsid w:val="00947664"/>
    <w:rsid w:val="00967F22"/>
    <w:rsid w:val="009F1CAC"/>
    <w:rsid w:val="009F3799"/>
    <w:rsid w:val="00A2340A"/>
    <w:rsid w:val="00A32E40"/>
    <w:rsid w:val="00A61D99"/>
    <w:rsid w:val="00A66E20"/>
    <w:rsid w:val="00A84EF4"/>
    <w:rsid w:val="00AA6659"/>
    <w:rsid w:val="00B368B8"/>
    <w:rsid w:val="00B37929"/>
    <w:rsid w:val="00C3176B"/>
    <w:rsid w:val="00C8259F"/>
    <w:rsid w:val="00C83F9D"/>
    <w:rsid w:val="00CD3BA5"/>
    <w:rsid w:val="00D11B26"/>
    <w:rsid w:val="00D353CA"/>
    <w:rsid w:val="00DC0DFA"/>
    <w:rsid w:val="00DC1AA0"/>
    <w:rsid w:val="00E36928"/>
    <w:rsid w:val="00E51700"/>
    <w:rsid w:val="00E754CD"/>
    <w:rsid w:val="00E976B4"/>
    <w:rsid w:val="00F075EF"/>
    <w:rsid w:val="00F22881"/>
    <w:rsid w:val="00F26FFD"/>
    <w:rsid w:val="00F6628C"/>
    <w:rsid w:val="00FA428B"/>
    <w:rsid w:val="00FA76C4"/>
    <w:rsid w:val="00FB6457"/>
    <w:rsid w:val="00FF0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CD3BA5"/>
    <w:rPr>
      <w:rFonts w:ascii="宋体" w:eastAsia="宋体" w:hAnsi="宋体" w:cs="宋体" w:hint="eastAsia"/>
      <w:i w:val="0"/>
      <w:color w:val="000000"/>
      <w:sz w:val="22"/>
      <w:szCs w:val="22"/>
      <w:u w:val="none"/>
    </w:rPr>
  </w:style>
  <w:style w:type="character" w:customStyle="1" w:styleId="font01">
    <w:name w:val="font01"/>
    <w:basedOn w:val="a0"/>
    <w:rsid w:val="00CD3BA5"/>
    <w:rPr>
      <w:rFonts w:ascii="宋体" w:eastAsia="宋体" w:hAnsi="宋体" w:cs="宋体" w:hint="eastAsia"/>
      <w:i w:val="0"/>
      <w:color w:val="FF0000"/>
      <w:sz w:val="22"/>
      <w:szCs w:val="22"/>
      <w:u w:val="none"/>
    </w:rPr>
  </w:style>
  <w:style w:type="paragraph" w:styleId="a3">
    <w:name w:val="header"/>
    <w:basedOn w:val="a"/>
    <w:link w:val="Char"/>
    <w:uiPriority w:val="99"/>
    <w:unhideWhenUsed/>
    <w:rsid w:val="005B4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957"/>
    <w:rPr>
      <w:rFonts w:ascii="Times New Roman" w:eastAsia="宋体" w:hAnsi="Times New Roman" w:cs="Times New Roman"/>
      <w:sz w:val="18"/>
      <w:szCs w:val="18"/>
    </w:rPr>
  </w:style>
  <w:style w:type="paragraph" w:styleId="a4">
    <w:name w:val="footer"/>
    <w:basedOn w:val="a"/>
    <w:link w:val="Char0"/>
    <w:uiPriority w:val="99"/>
    <w:unhideWhenUsed/>
    <w:rsid w:val="005B4957"/>
    <w:pPr>
      <w:tabs>
        <w:tab w:val="center" w:pos="4153"/>
        <w:tab w:val="right" w:pos="8306"/>
      </w:tabs>
      <w:snapToGrid w:val="0"/>
      <w:jc w:val="left"/>
    </w:pPr>
    <w:rPr>
      <w:sz w:val="18"/>
      <w:szCs w:val="18"/>
    </w:rPr>
  </w:style>
  <w:style w:type="character" w:customStyle="1" w:styleId="Char0">
    <w:name w:val="页脚 Char"/>
    <w:basedOn w:val="a0"/>
    <w:link w:val="a4"/>
    <w:uiPriority w:val="99"/>
    <w:rsid w:val="005B495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CD3BA5"/>
    <w:rPr>
      <w:rFonts w:ascii="宋体" w:eastAsia="宋体" w:hAnsi="宋体" w:cs="宋体" w:hint="eastAsia"/>
      <w:i w:val="0"/>
      <w:color w:val="000000"/>
      <w:sz w:val="22"/>
      <w:szCs w:val="22"/>
      <w:u w:val="none"/>
    </w:rPr>
  </w:style>
  <w:style w:type="character" w:customStyle="1" w:styleId="font01">
    <w:name w:val="font01"/>
    <w:basedOn w:val="a0"/>
    <w:rsid w:val="00CD3BA5"/>
    <w:rPr>
      <w:rFonts w:ascii="宋体" w:eastAsia="宋体" w:hAnsi="宋体" w:cs="宋体" w:hint="eastAsia"/>
      <w:i w:val="0"/>
      <w:color w:val="FF0000"/>
      <w:sz w:val="22"/>
      <w:szCs w:val="22"/>
      <w:u w:val="none"/>
    </w:rPr>
  </w:style>
  <w:style w:type="paragraph" w:styleId="a3">
    <w:name w:val="header"/>
    <w:basedOn w:val="a"/>
    <w:link w:val="Char"/>
    <w:uiPriority w:val="99"/>
    <w:unhideWhenUsed/>
    <w:rsid w:val="005B4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957"/>
    <w:rPr>
      <w:rFonts w:ascii="Times New Roman" w:eastAsia="宋体" w:hAnsi="Times New Roman" w:cs="Times New Roman"/>
      <w:sz w:val="18"/>
      <w:szCs w:val="18"/>
    </w:rPr>
  </w:style>
  <w:style w:type="paragraph" w:styleId="a4">
    <w:name w:val="footer"/>
    <w:basedOn w:val="a"/>
    <w:link w:val="Char0"/>
    <w:uiPriority w:val="99"/>
    <w:unhideWhenUsed/>
    <w:rsid w:val="005B4957"/>
    <w:pPr>
      <w:tabs>
        <w:tab w:val="center" w:pos="4153"/>
        <w:tab w:val="right" w:pos="8306"/>
      </w:tabs>
      <w:snapToGrid w:val="0"/>
      <w:jc w:val="left"/>
    </w:pPr>
    <w:rPr>
      <w:sz w:val="18"/>
      <w:szCs w:val="18"/>
    </w:rPr>
  </w:style>
  <w:style w:type="character" w:customStyle="1" w:styleId="Char0">
    <w:name w:val="页脚 Char"/>
    <w:basedOn w:val="a0"/>
    <w:link w:val="a4"/>
    <w:uiPriority w:val="99"/>
    <w:rsid w:val="005B49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607</Words>
  <Characters>3464</Characters>
  <Application>Microsoft Office Word</Application>
  <DocSecurity>0</DocSecurity>
  <Lines>28</Lines>
  <Paragraphs>8</Paragraphs>
  <ScaleCrop>false</ScaleCrop>
  <Company>12XzzX.CoM</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Users</cp:lastModifiedBy>
  <cp:revision>8</cp:revision>
  <cp:lastPrinted>2020-04-20T01:13:00Z</cp:lastPrinted>
  <dcterms:created xsi:type="dcterms:W3CDTF">2020-07-08T02:25:00Z</dcterms:created>
  <dcterms:modified xsi:type="dcterms:W3CDTF">2020-07-13T03:40:00Z</dcterms:modified>
</cp:coreProperties>
</file>