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spacing w:after="156" w:afterLines="50"/>
        <w:ind w:firstLine="320" w:firstLineChars="100"/>
        <w:rPr>
          <w:rFonts w:hint="eastAsia" w:ascii="方正小标宋简体" w:hAnsi="宋体" w:eastAsia="方正小标宋简体"/>
          <w:sz w:val="32"/>
          <w:szCs w:val="32"/>
        </w:rPr>
      </w:pPr>
      <w:r>
        <w:rPr>
          <w:rFonts w:hint="eastAsia" w:ascii="方正小标宋简体" w:hAnsi="宋体" w:eastAsia="方正小标宋简体"/>
          <w:sz w:val="32"/>
          <w:szCs w:val="32"/>
        </w:rPr>
        <w:t>附件3</w:t>
      </w:r>
    </w:p>
    <w:p>
      <w:pPr>
        <w:tabs>
          <w:tab w:val="left" w:pos="1080"/>
        </w:tabs>
        <w:spacing w:after="156" w:afterLines="50"/>
        <w:ind w:firstLine="400" w:firstLineChars="100"/>
        <w:jc w:val="center"/>
        <w:rPr>
          <w:rFonts w:ascii="方正小标宋简体" w:eastAsia="方正小标宋简体"/>
          <w:sz w:val="40"/>
          <w:szCs w:val="40"/>
        </w:rPr>
      </w:pPr>
      <w:bookmarkStart w:id="0" w:name="_GoBack"/>
      <w:r>
        <w:rPr>
          <w:rFonts w:hint="eastAsia" w:ascii="方正小标宋简体" w:hAnsi="宋体" w:eastAsia="方正小标宋简体"/>
          <w:sz w:val="40"/>
          <w:szCs w:val="40"/>
        </w:rPr>
        <w:t>湖南省可持续发展实验区评价参考指标解释</w:t>
      </w:r>
      <w:bookmarkEnd w:id="0"/>
    </w:p>
    <w:tbl>
      <w:tblPr>
        <w:tblStyle w:val="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552"/>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Merge w:val="restart"/>
            <w:tcBorders>
              <w:top w:val="single" w:color="auto" w:sz="4" w:space="0"/>
            </w:tcBorders>
            <w:vAlign w:val="center"/>
          </w:tcPr>
          <w:p>
            <w:pPr>
              <w:spacing w:line="320" w:lineRule="exact"/>
              <w:jc w:val="center"/>
            </w:pPr>
            <w:r>
              <w:rPr>
                <w:rFonts w:hint="eastAsia" w:eastAsia="仿宋_GB2312"/>
                <w:b/>
                <w:szCs w:val="21"/>
              </w:rPr>
              <w:t>一级指标</w:t>
            </w:r>
          </w:p>
        </w:tc>
        <w:tc>
          <w:tcPr>
            <w:tcW w:w="709" w:type="dxa"/>
            <w:vMerge w:val="restart"/>
            <w:tcBorders>
              <w:top w:val="single" w:color="auto" w:sz="4" w:space="0"/>
            </w:tcBorders>
            <w:vAlign w:val="center"/>
          </w:tcPr>
          <w:p>
            <w:pPr>
              <w:spacing w:line="320" w:lineRule="exact"/>
              <w:jc w:val="center"/>
              <w:rPr>
                <w:rFonts w:eastAsia="仿宋_GB2312"/>
                <w:b/>
                <w:szCs w:val="21"/>
              </w:rPr>
            </w:pPr>
            <w:r>
              <w:rPr>
                <w:rFonts w:hint="eastAsia" w:eastAsia="仿宋_GB2312"/>
                <w:b/>
                <w:szCs w:val="21"/>
              </w:rPr>
              <w:t>序号</w:t>
            </w:r>
          </w:p>
        </w:tc>
        <w:tc>
          <w:tcPr>
            <w:tcW w:w="2552" w:type="dxa"/>
            <w:vMerge w:val="restart"/>
            <w:vAlign w:val="center"/>
          </w:tcPr>
          <w:p>
            <w:pPr>
              <w:spacing w:line="320" w:lineRule="exact"/>
              <w:jc w:val="center"/>
              <w:rPr>
                <w:rFonts w:eastAsia="仿宋_GB2312"/>
                <w:b/>
                <w:szCs w:val="21"/>
              </w:rPr>
            </w:pPr>
            <w:r>
              <w:rPr>
                <w:rFonts w:hint="eastAsia" w:eastAsia="仿宋_GB2312"/>
                <w:b/>
                <w:szCs w:val="21"/>
              </w:rPr>
              <w:t>二级指标</w:t>
            </w:r>
          </w:p>
        </w:tc>
        <w:tc>
          <w:tcPr>
            <w:tcW w:w="10773" w:type="dxa"/>
            <w:vMerge w:val="restart"/>
            <w:vAlign w:val="center"/>
          </w:tcPr>
          <w:p>
            <w:pPr>
              <w:spacing w:line="320" w:lineRule="exact"/>
              <w:jc w:val="center"/>
              <w:rPr>
                <w:rFonts w:eastAsia="仿宋_GB2312"/>
                <w:b/>
                <w:szCs w:val="21"/>
              </w:rPr>
            </w:pPr>
            <w:r>
              <w:rPr>
                <w:rFonts w:hint="eastAsia" w:eastAsia="仿宋_GB2312"/>
                <w:b/>
                <w:szCs w:val="21"/>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vMerge w:val="continue"/>
            <w:vAlign w:val="center"/>
          </w:tcPr>
          <w:p>
            <w:pPr>
              <w:spacing w:line="320" w:lineRule="exact"/>
              <w:jc w:val="center"/>
              <w:rPr>
                <w:rFonts w:eastAsia="仿宋_GB2312"/>
                <w:b/>
                <w:szCs w:val="21"/>
              </w:rPr>
            </w:pPr>
          </w:p>
        </w:tc>
        <w:tc>
          <w:tcPr>
            <w:tcW w:w="709" w:type="dxa"/>
            <w:vMerge w:val="continue"/>
            <w:vAlign w:val="center"/>
          </w:tcPr>
          <w:p>
            <w:pPr>
              <w:spacing w:line="320" w:lineRule="exact"/>
              <w:jc w:val="center"/>
              <w:rPr>
                <w:rFonts w:eastAsia="仿宋_GB2312"/>
                <w:b/>
                <w:szCs w:val="21"/>
              </w:rPr>
            </w:pPr>
          </w:p>
        </w:tc>
        <w:tc>
          <w:tcPr>
            <w:tcW w:w="2552" w:type="dxa"/>
            <w:vMerge w:val="continue"/>
            <w:vAlign w:val="center"/>
          </w:tcPr>
          <w:p>
            <w:pPr>
              <w:spacing w:line="320" w:lineRule="exact"/>
              <w:ind w:firstLine="843" w:firstLineChars="400"/>
              <w:jc w:val="center"/>
              <w:rPr>
                <w:rFonts w:eastAsia="仿宋_GB2312"/>
                <w:b/>
                <w:szCs w:val="21"/>
              </w:rPr>
            </w:pPr>
          </w:p>
        </w:tc>
        <w:tc>
          <w:tcPr>
            <w:tcW w:w="10773" w:type="dxa"/>
            <w:vMerge w:val="continue"/>
          </w:tcPr>
          <w:p>
            <w:pPr>
              <w:spacing w:line="320" w:lineRule="exact"/>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restart"/>
            <w:vAlign w:val="center"/>
          </w:tcPr>
          <w:p>
            <w:pPr>
              <w:spacing w:line="320" w:lineRule="exact"/>
              <w:jc w:val="center"/>
              <w:rPr>
                <w:rFonts w:ascii="宋体" w:hAnsi="宋体" w:cs="宋体"/>
                <w:b/>
              </w:rPr>
            </w:pPr>
            <w:r>
              <w:rPr>
                <w:rFonts w:hint="eastAsia" w:ascii="宋体" w:hAnsi="宋体" w:cs="宋体"/>
                <w:b/>
              </w:rPr>
              <w:t>创新驱动</w:t>
            </w:r>
          </w:p>
        </w:tc>
        <w:tc>
          <w:tcPr>
            <w:tcW w:w="709" w:type="dxa"/>
            <w:vAlign w:val="center"/>
          </w:tcPr>
          <w:p>
            <w:pPr>
              <w:spacing w:line="320" w:lineRule="exact"/>
              <w:jc w:val="center"/>
              <w:rPr>
                <w:rFonts w:ascii="宋体" w:hAnsi="宋体" w:cs="宋体"/>
                <w:bCs/>
                <w:szCs w:val="21"/>
              </w:rPr>
            </w:pPr>
            <w:r>
              <w:rPr>
                <w:rFonts w:hint="eastAsia" w:ascii="宋体" w:hAnsi="宋体" w:cs="宋体"/>
                <w:bCs/>
                <w:szCs w:val="21"/>
              </w:rPr>
              <w:t>1</w:t>
            </w:r>
          </w:p>
        </w:tc>
        <w:tc>
          <w:tcPr>
            <w:tcW w:w="2552" w:type="dxa"/>
            <w:vAlign w:val="center"/>
          </w:tcPr>
          <w:p>
            <w:pPr>
              <w:widowControl/>
              <w:textAlignment w:val="center"/>
              <w:rPr>
                <w:rFonts w:ascii="宋体" w:hAnsi="宋体" w:cs="宋体"/>
                <w:szCs w:val="21"/>
              </w:rPr>
            </w:pPr>
            <w:r>
              <w:rPr>
                <w:rFonts w:hint="eastAsia" w:ascii="宋体" w:hAnsi="宋体" w:cs="宋体"/>
                <w:color w:val="000000"/>
                <w:kern w:val="0"/>
                <w:szCs w:val="21"/>
                <w:lang w:bidi="ar"/>
              </w:rPr>
              <w:t>本级科学技术支出占当年本级财政一般预算支出比例（%）</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科学技术管理、基础研究、应用研究、技术研究与开发、科技条件与服务、社会科学、科学技术普及、科技交流与合作、其他科学技术支出，占当年本级财政一般预算支出比例。反映用于科学技术方面的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675" w:type="dxa"/>
            <w:vMerge w:val="continue"/>
            <w:vAlign w:val="center"/>
          </w:tcPr>
          <w:p>
            <w:pPr>
              <w:spacing w:line="320" w:lineRule="exact"/>
              <w:jc w:val="center"/>
              <w:rPr>
                <w:rFonts w:ascii="宋体" w:hAnsi="宋体" w:cs="宋体"/>
                <w:szCs w:val="21"/>
              </w:rPr>
            </w:pPr>
          </w:p>
        </w:tc>
        <w:tc>
          <w:tcPr>
            <w:tcW w:w="709" w:type="dxa"/>
            <w:vAlign w:val="center"/>
          </w:tcPr>
          <w:p>
            <w:pPr>
              <w:spacing w:line="320" w:lineRule="exact"/>
              <w:jc w:val="center"/>
              <w:rPr>
                <w:rFonts w:ascii="宋体" w:hAnsi="宋体" w:cs="宋体"/>
                <w:bCs/>
                <w:szCs w:val="21"/>
              </w:rPr>
            </w:pPr>
            <w:r>
              <w:rPr>
                <w:rFonts w:hint="eastAsia" w:ascii="宋体" w:hAnsi="宋体" w:cs="宋体"/>
                <w:bCs/>
                <w:szCs w:val="21"/>
              </w:rPr>
              <w:t>2</w:t>
            </w:r>
          </w:p>
        </w:tc>
        <w:tc>
          <w:tcPr>
            <w:tcW w:w="2552" w:type="dxa"/>
            <w:vAlign w:val="center"/>
          </w:tcPr>
          <w:p>
            <w:pPr>
              <w:widowControl/>
              <w:textAlignment w:val="center"/>
              <w:rPr>
                <w:rFonts w:ascii="宋体" w:hAnsi="宋体" w:cs="宋体"/>
                <w:szCs w:val="21"/>
              </w:rPr>
            </w:pPr>
            <w:r>
              <w:rPr>
                <w:rFonts w:hint="eastAsia" w:ascii="宋体" w:hAnsi="宋体" w:cs="宋体"/>
                <w:szCs w:val="21"/>
              </w:rPr>
              <w:t>万人发明专利数（件/万人）</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是指行政区域内每万人拥有经国内外知识产权行政部门已申请、审查、授权且在有效期内的发明专利件数。反映拥有自主知识产权技术的核心指标。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75" w:type="dxa"/>
            <w:vMerge w:val="continue"/>
            <w:vAlign w:val="center"/>
          </w:tcPr>
          <w:p>
            <w:pPr>
              <w:spacing w:line="320" w:lineRule="exact"/>
              <w:ind w:right="487" w:rightChars="232"/>
              <w:jc w:val="center"/>
              <w:rPr>
                <w:rFonts w:ascii="宋体" w:hAnsi="宋体" w:cs="宋体"/>
                <w:szCs w:val="21"/>
              </w:rPr>
            </w:pPr>
          </w:p>
        </w:tc>
        <w:tc>
          <w:tcPr>
            <w:tcW w:w="709" w:type="dxa"/>
            <w:vAlign w:val="center"/>
          </w:tcPr>
          <w:p>
            <w:pPr>
              <w:spacing w:line="320" w:lineRule="exact"/>
              <w:jc w:val="center"/>
              <w:rPr>
                <w:rFonts w:ascii="宋体" w:hAnsi="宋体" w:cs="宋体"/>
                <w:bCs/>
                <w:szCs w:val="21"/>
              </w:rPr>
            </w:pPr>
            <w:r>
              <w:rPr>
                <w:rFonts w:hint="eastAsia" w:ascii="宋体" w:hAnsi="宋体" w:cs="宋体"/>
                <w:bCs/>
                <w:szCs w:val="21"/>
              </w:rPr>
              <w:t>3</w:t>
            </w:r>
          </w:p>
        </w:tc>
        <w:tc>
          <w:tcPr>
            <w:tcW w:w="2552" w:type="dxa"/>
            <w:vAlign w:val="center"/>
          </w:tcPr>
          <w:p>
            <w:pPr>
              <w:widowControl/>
              <w:textAlignment w:val="center"/>
              <w:rPr>
                <w:rFonts w:ascii="宋体" w:hAnsi="宋体" w:cs="宋体"/>
                <w:szCs w:val="21"/>
              </w:rPr>
            </w:pPr>
            <w:r>
              <w:rPr>
                <w:rFonts w:hint="eastAsia" w:ascii="宋体" w:hAnsi="宋体" w:cs="宋体"/>
                <w:szCs w:val="21"/>
              </w:rPr>
              <w:t>技术合同认定成交额（万元）</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技术合同认定数：是指在行政区域内，根据《技术合同认定登记管理办法》设立的技术合同登记机构对技术合同当事人申请认定登记的合同文本从技术上进行核查，确认的技术合同数量。</w:t>
            </w:r>
          </w:p>
          <w:p>
            <w:pPr>
              <w:spacing w:line="320" w:lineRule="exact"/>
              <w:rPr>
                <w:rFonts w:ascii="仿宋" w:hAnsi="仿宋" w:eastAsia="仿宋" w:cs="仿宋"/>
                <w:spacing w:val="-8"/>
                <w:szCs w:val="21"/>
              </w:rPr>
            </w:pPr>
            <w:r>
              <w:rPr>
                <w:rFonts w:hint="eastAsia" w:ascii="仿宋" w:hAnsi="仿宋" w:eastAsia="仿宋" w:cs="仿宋"/>
                <w:spacing w:val="-8"/>
                <w:szCs w:val="21"/>
              </w:rPr>
              <w:t>技术合同成交额：是指行政区域内针对技术开发、技术转让、技术咨询和技术服务类，按合同的成交额。</w:t>
            </w:r>
          </w:p>
          <w:p>
            <w:pPr>
              <w:spacing w:line="320" w:lineRule="exact"/>
              <w:rPr>
                <w:rFonts w:ascii="仿宋" w:hAnsi="仿宋" w:eastAsia="仿宋" w:cs="仿宋"/>
                <w:spacing w:val="-8"/>
                <w:szCs w:val="21"/>
              </w:rPr>
            </w:pPr>
            <w:r>
              <w:rPr>
                <w:rFonts w:hint="eastAsia" w:ascii="仿宋" w:hAnsi="仿宋" w:eastAsia="仿宋" w:cs="仿宋"/>
                <w:spacing w:val="-8"/>
                <w:szCs w:val="21"/>
              </w:rPr>
              <w:t>反映了科技成果转化情况。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320" w:lineRule="exact"/>
              <w:jc w:val="center"/>
              <w:rPr>
                <w:rFonts w:ascii="宋体" w:hAnsi="宋体" w:cs="宋体"/>
                <w:szCs w:val="21"/>
              </w:rPr>
            </w:pPr>
          </w:p>
        </w:tc>
        <w:tc>
          <w:tcPr>
            <w:tcW w:w="709" w:type="dxa"/>
            <w:vAlign w:val="center"/>
          </w:tcPr>
          <w:p>
            <w:pPr>
              <w:spacing w:line="320" w:lineRule="exact"/>
              <w:jc w:val="center"/>
              <w:rPr>
                <w:rFonts w:ascii="宋体" w:hAnsi="宋体" w:cs="宋体"/>
                <w:bCs/>
                <w:szCs w:val="21"/>
              </w:rPr>
            </w:pPr>
            <w:r>
              <w:rPr>
                <w:rFonts w:hint="eastAsia" w:ascii="宋体" w:hAnsi="宋体" w:cs="宋体"/>
                <w:bCs/>
                <w:szCs w:val="21"/>
              </w:rPr>
              <w:t>4</w:t>
            </w:r>
          </w:p>
        </w:tc>
        <w:tc>
          <w:tcPr>
            <w:tcW w:w="2552" w:type="dxa"/>
            <w:vAlign w:val="center"/>
          </w:tcPr>
          <w:p>
            <w:pPr>
              <w:widowControl/>
              <w:textAlignment w:val="center"/>
              <w:rPr>
                <w:rFonts w:ascii="宋体" w:hAnsi="宋体" w:cs="宋体"/>
                <w:szCs w:val="21"/>
              </w:rPr>
            </w:pPr>
            <w:r>
              <w:rPr>
                <w:rFonts w:hint="eastAsia" w:ascii="宋体" w:hAnsi="宋体" w:cs="宋体"/>
                <w:szCs w:val="21"/>
              </w:rPr>
              <w:t>高新技术企业数/科技型中小企业数（个）</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高新技术企业数：是指行政区域内在《国家重点支持的高新技术领域》规定的范围中，持续进行研究开发与技术成果转化，形成企业核心自主知识产权，并以此为基础开展经营活动，在中国境内（不包括港、澳、台地区）注册一年以上的居民企业。</w:t>
            </w:r>
          </w:p>
          <w:p>
            <w:pPr>
              <w:spacing w:line="320" w:lineRule="exact"/>
              <w:rPr>
                <w:rFonts w:ascii="仿宋" w:hAnsi="仿宋" w:eastAsia="仿宋" w:cs="仿宋"/>
                <w:spacing w:val="-8"/>
                <w:szCs w:val="21"/>
              </w:rPr>
            </w:pPr>
            <w:r>
              <w:rPr>
                <w:rFonts w:hint="eastAsia" w:ascii="仿宋" w:hAnsi="仿宋" w:eastAsia="仿宋" w:cs="仿宋"/>
                <w:spacing w:val="-8"/>
                <w:szCs w:val="21"/>
              </w:rPr>
              <w:t>科技型中小企业：是指在行政区域内以科技人员为主体，由科技人员领办和创办，主要从事高新技术产品的科学研究、研制、生产、销售，以科技成果商品化以及技术开发、技术服务、技术咨询和高新产品为主要内容，以市场为导向，实行“自筹资金、自愿组合、自主经营、自负盈亏、自我发展、自我约束”的知识密集型经济实体数量。</w:t>
            </w:r>
          </w:p>
          <w:p>
            <w:pPr>
              <w:spacing w:line="320" w:lineRule="exact"/>
              <w:rPr>
                <w:rFonts w:ascii="仿宋" w:hAnsi="仿宋" w:eastAsia="仿宋" w:cs="仿宋"/>
                <w:spacing w:val="-8"/>
                <w:szCs w:val="21"/>
              </w:rPr>
            </w:pPr>
            <w:r>
              <w:rPr>
                <w:rFonts w:hint="eastAsia" w:ascii="仿宋" w:hAnsi="仿宋" w:eastAsia="仿宋" w:cs="仿宋"/>
                <w:spacing w:val="-8"/>
                <w:szCs w:val="21"/>
              </w:rPr>
              <w:t>衡量一个地区科创活力的重要指标。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jc w:val="center"/>
              <w:rPr>
                <w:rFonts w:ascii="宋体" w:hAnsi="宋体" w:cs="宋体"/>
                <w:b/>
              </w:rPr>
            </w:pPr>
          </w:p>
        </w:tc>
        <w:tc>
          <w:tcPr>
            <w:tcW w:w="709" w:type="dxa"/>
            <w:vAlign w:val="center"/>
          </w:tcPr>
          <w:p>
            <w:pPr>
              <w:jc w:val="center"/>
              <w:rPr>
                <w:rFonts w:ascii="宋体" w:hAnsi="宋体" w:cs="宋体"/>
                <w:bCs/>
                <w:szCs w:val="21"/>
              </w:rPr>
            </w:pPr>
            <w:r>
              <w:rPr>
                <w:rFonts w:hint="eastAsia" w:ascii="宋体" w:hAnsi="宋体" w:cs="宋体"/>
                <w:bCs/>
                <w:szCs w:val="21"/>
              </w:rPr>
              <w:t>5</w:t>
            </w:r>
          </w:p>
        </w:tc>
        <w:tc>
          <w:tcPr>
            <w:tcW w:w="2552" w:type="dxa"/>
            <w:vAlign w:val="center"/>
          </w:tcPr>
          <w:p>
            <w:pPr>
              <w:widowControl/>
              <w:textAlignment w:val="center"/>
              <w:rPr>
                <w:rFonts w:ascii="宋体" w:hAnsi="宋体" w:cs="宋体"/>
                <w:szCs w:val="21"/>
              </w:rPr>
            </w:pPr>
            <w:r>
              <w:rPr>
                <w:rFonts w:hint="eastAsia" w:ascii="宋体" w:hAnsi="宋体" w:cs="宋体"/>
                <w:szCs w:val="21"/>
              </w:rPr>
              <w:t>创新载体数</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创新创业载体主要是指：1.指聚集为科技创新提供服务的公共服务平台、各类专业技术服务平台和科研机构、企业研发中心、工程技术中心等研发机构的载体。2.创业载体(孵化器)主要是指聚集科技型创业企业以及促进成果转化、孵化的载体;创意载体是指聚集以创意产业为支柱的现代科技服务业的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jc w:val="center"/>
              <w:rPr>
                <w:rFonts w:ascii="宋体" w:hAnsi="宋体" w:cs="宋体"/>
                <w:b/>
              </w:rPr>
            </w:pPr>
          </w:p>
        </w:tc>
        <w:tc>
          <w:tcPr>
            <w:tcW w:w="709" w:type="dxa"/>
            <w:vAlign w:val="center"/>
          </w:tcPr>
          <w:p>
            <w:pPr>
              <w:jc w:val="center"/>
              <w:rPr>
                <w:rFonts w:ascii="宋体" w:hAnsi="宋体" w:cs="宋体"/>
                <w:bCs/>
                <w:szCs w:val="21"/>
              </w:rPr>
            </w:pPr>
            <w:r>
              <w:rPr>
                <w:rFonts w:hint="eastAsia" w:ascii="宋体" w:hAnsi="宋体" w:cs="宋体"/>
                <w:bCs/>
                <w:szCs w:val="21"/>
              </w:rPr>
              <w:t>5.1</w:t>
            </w:r>
          </w:p>
        </w:tc>
        <w:tc>
          <w:tcPr>
            <w:tcW w:w="2552" w:type="dxa"/>
            <w:vAlign w:val="center"/>
          </w:tcPr>
          <w:p>
            <w:pPr>
              <w:widowControl/>
              <w:ind w:firstLine="420" w:firstLineChars="200"/>
              <w:jc w:val="left"/>
              <w:textAlignment w:val="center"/>
              <w:rPr>
                <w:rFonts w:ascii="宋体" w:hAnsi="宋体" w:cs="宋体"/>
                <w:szCs w:val="21"/>
              </w:rPr>
            </w:pPr>
            <w:r>
              <w:rPr>
                <w:rFonts w:hint="eastAsia" w:ascii="宋体" w:hAnsi="宋体" w:cs="宋体"/>
                <w:szCs w:val="21"/>
              </w:rPr>
              <w:t>省级及以上科技企业孵化器（个）</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省级及以上科技企业孵化器：是指在行政区域内以促进科技成果转化、培养高新技术企业和企业家为宗旨的科技创业服务载体，并按照国家级或省级《科技企业孵化器认定管理办法》认定的服务机构数量。反映了区域创新体系健全的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jc w:val="center"/>
              <w:rPr>
                <w:rFonts w:ascii="宋体" w:hAnsi="宋体" w:cs="宋体"/>
                <w:b/>
              </w:rPr>
            </w:pPr>
          </w:p>
        </w:tc>
        <w:tc>
          <w:tcPr>
            <w:tcW w:w="709" w:type="dxa"/>
            <w:vAlign w:val="center"/>
          </w:tcPr>
          <w:p>
            <w:pPr>
              <w:jc w:val="center"/>
              <w:rPr>
                <w:rFonts w:ascii="宋体" w:hAnsi="宋体" w:cs="宋体"/>
                <w:bCs/>
                <w:szCs w:val="21"/>
              </w:rPr>
            </w:pPr>
            <w:r>
              <w:rPr>
                <w:rFonts w:hint="eastAsia" w:ascii="宋体" w:hAnsi="宋体" w:cs="宋体"/>
                <w:bCs/>
                <w:szCs w:val="21"/>
              </w:rPr>
              <w:t>5.2</w:t>
            </w:r>
          </w:p>
        </w:tc>
        <w:tc>
          <w:tcPr>
            <w:tcW w:w="2552" w:type="dxa"/>
            <w:vAlign w:val="center"/>
          </w:tcPr>
          <w:p>
            <w:pPr>
              <w:widowControl/>
              <w:jc w:val="left"/>
              <w:textAlignment w:val="center"/>
              <w:rPr>
                <w:rFonts w:ascii="宋体" w:hAnsi="宋体" w:cs="宋体"/>
                <w:szCs w:val="21"/>
              </w:rPr>
            </w:pPr>
            <w:r>
              <w:rPr>
                <w:rFonts w:hint="eastAsia" w:ascii="宋体" w:hAnsi="宋体" w:cs="宋体"/>
                <w:szCs w:val="21"/>
              </w:rPr>
              <w:t xml:space="preserve">    市级及以上众创空间（个）</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众创空间：是指在行政区域内为满足大众创新创业需求，提供工作空间、网络空间、社交空间和资源共享空间，积极利用众筹、众扶、众包等新手段，以社会化、专业化、市场化、网络化为服务特色，实现低成本、便利化、全要素、开放式运营的，符合《国家众创空间备案暂行规定》要求的市级及以上创新创业平台数量。反映了区域创新体系健全的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jc w:val="center"/>
              <w:rPr>
                <w:rFonts w:ascii="宋体" w:hAnsi="宋体" w:cs="宋体"/>
                <w:b/>
              </w:rPr>
            </w:pPr>
          </w:p>
        </w:tc>
        <w:tc>
          <w:tcPr>
            <w:tcW w:w="709" w:type="dxa"/>
            <w:vAlign w:val="center"/>
          </w:tcPr>
          <w:p>
            <w:pPr>
              <w:jc w:val="center"/>
              <w:rPr>
                <w:rFonts w:ascii="宋体" w:hAnsi="宋体" w:cs="宋体"/>
                <w:bCs/>
                <w:szCs w:val="21"/>
              </w:rPr>
            </w:pPr>
            <w:r>
              <w:rPr>
                <w:rFonts w:hint="eastAsia" w:ascii="宋体" w:hAnsi="宋体" w:cs="宋体"/>
                <w:bCs/>
                <w:szCs w:val="21"/>
              </w:rPr>
              <w:t>5.3</w:t>
            </w:r>
          </w:p>
        </w:tc>
        <w:tc>
          <w:tcPr>
            <w:tcW w:w="2552" w:type="dxa"/>
            <w:vAlign w:val="center"/>
          </w:tcPr>
          <w:p>
            <w:pPr>
              <w:widowControl/>
              <w:jc w:val="left"/>
              <w:textAlignment w:val="center"/>
              <w:rPr>
                <w:rFonts w:ascii="宋体" w:hAnsi="宋体" w:cs="宋体"/>
                <w:szCs w:val="21"/>
              </w:rPr>
            </w:pPr>
            <w:r>
              <w:rPr>
                <w:rFonts w:hint="eastAsia" w:ascii="宋体" w:hAnsi="宋体" w:cs="宋体"/>
                <w:szCs w:val="21"/>
              </w:rPr>
              <w:t xml:space="preserve">    市级及以上星创天地（个）</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星创天地：是指在行政区域内，由独立法人机构运营，面向农业农村创新创业主体，通过市场化机制、专业化服务和资本化运作方式，聚集创新资源和创业要素，建设的集科技示范、技术集成、成果转化、创业孵化、平台服务，并符合《湖南省促进星创天地发展与管理办法（试行）》要求的，为新型农业创新创业一站式开放性综合服务平台个数。反映了区域创新体系健全的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jc w:val="center"/>
              <w:rPr>
                <w:rFonts w:ascii="宋体" w:hAnsi="宋体" w:cs="宋体"/>
                <w:b/>
                <w:szCs w:val="21"/>
              </w:rPr>
            </w:pPr>
          </w:p>
        </w:tc>
        <w:tc>
          <w:tcPr>
            <w:tcW w:w="709" w:type="dxa"/>
            <w:vAlign w:val="center"/>
          </w:tcPr>
          <w:p>
            <w:pPr>
              <w:jc w:val="center"/>
              <w:rPr>
                <w:rFonts w:ascii="宋体" w:hAnsi="宋体" w:cs="宋体"/>
                <w:bCs/>
                <w:szCs w:val="21"/>
              </w:rPr>
            </w:pPr>
            <w:r>
              <w:rPr>
                <w:rFonts w:hint="eastAsia" w:ascii="宋体" w:hAnsi="宋体" w:cs="宋体"/>
                <w:bCs/>
                <w:szCs w:val="21"/>
              </w:rPr>
              <w:t>6</w:t>
            </w:r>
          </w:p>
        </w:tc>
        <w:tc>
          <w:tcPr>
            <w:tcW w:w="2552" w:type="dxa"/>
            <w:vAlign w:val="center"/>
          </w:tcPr>
          <w:p>
            <w:pPr>
              <w:widowControl/>
              <w:textAlignment w:val="center"/>
              <w:rPr>
                <w:rFonts w:ascii="宋体" w:hAnsi="宋体" w:cs="宋体"/>
                <w:szCs w:val="21"/>
              </w:rPr>
            </w:pPr>
            <w:r>
              <w:rPr>
                <w:rStyle w:val="6"/>
                <w:rFonts w:hint="default"/>
                <w:color w:val="auto"/>
                <w:sz w:val="21"/>
                <w:szCs w:val="21"/>
                <w:lang w:bidi="ar"/>
              </w:rPr>
              <w:t>高新技术产业产值占</w:t>
            </w:r>
            <w:r>
              <w:rPr>
                <w:rStyle w:val="7"/>
                <w:rFonts w:hint="default"/>
                <w:color w:val="auto"/>
                <w:sz w:val="21"/>
                <w:szCs w:val="21"/>
                <w:lang w:bidi="ar"/>
              </w:rPr>
              <w:t>工业总产值</w:t>
            </w:r>
            <w:r>
              <w:rPr>
                <w:rStyle w:val="6"/>
                <w:rFonts w:hint="default"/>
                <w:color w:val="auto"/>
                <w:sz w:val="21"/>
                <w:szCs w:val="21"/>
                <w:lang w:bidi="ar"/>
              </w:rPr>
              <w:t>的比重（%）</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是指在行政区域内，以高新技术为基础，从事一种或者多种高新技术研究、开发、生产和技术服务的生产总值占当地工业生产总值的比重。反映科技创新活的动投入产出对地方经济发展的支撑能力。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jc w:val="center"/>
              <w:rPr>
                <w:rFonts w:ascii="宋体" w:hAnsi="宋体" w:cs="宋体"/>
                <w:b/>
              </w:rPr>
            </w:pPr>
          </w:p>
        </w:tc>
        <w:tc>
          <w:tcPr>
            <w:tcW w:w="709" w:type="dxa"/>
            <w:vAlign w:val="center"/>
          </w:tcPr>
          <w:p>
            <w:pPr>
              <w:jc w:val="center"/>
              <w:rPr>
                <w:rFonts w:ascii="宋体" w:hAnsi="宋体" w:cs="宋体"/>
                <w:bCs/>
                <w:szCs w:val="21"/>
              </w:rPr>
            </w:pPr>
            <w:r>
              <w:rPr>
                <w:rFonts w:hint="eastAsia" w:ascii="宋体" w:hAnsi="宋体" w:cs="宋体"/>
                <w:bCs/>
                <w:szCs w:val="21"/>
              </w:rPr>
              <w:t>7</w:t>
            </w:r>
          </w:p>
        </w:tc>
        <w:tc>
          <w:tcPr>
            <w:tcW w:w="2552" w:type="dxa"/>
            <w:vAlign w:val="center"/>
          </w:tcPr>
          <w:p>
            <w:pPr>
              <w:widowControl/>
              <w:textAlignment w:val="center"/>
              <w:rPr>
                <w:rFonts w:ascii="宋体" w:hAnsi="宋体" w:cs="宋体"/>
                <w:szCs w:val="21"/>
              </w:rPr>
            </w:pPr>
            <w:r>
              <w:rPr>
                <w:rFonts w:hint="eastAsia" w:ascii="宋体" w:hAnsi="宋体" w:cs="宋体"/>
                <w:kern w:val="0"/>
                <w:szCs w:val="21"/>
                <w:lang w:bidi="ar"/>
              </w:rPr>
              <w:t>固定宽带家庭普及率（%）</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是指在行政区域内，每百个家庭中有宽带接入的家庭数量。全面、客观的反映出互联网行业发展情况的指标。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restart"/>
            <w:vAlign w:val="center"/>
          </w:tcPr>
          <w:p>
            <w:pPr>
              <w:jc w:val="center"/>
              <w:rPr>
                <w:rFonts w:ascii="宋体" w:hAnsi="宋体" w:cs="宋体"/>
                <w:b/>
                <w:szCs w:val="21"/>
              </w:rPr>
            </w:pPr>
            <w:r>
              <w:rPr>
                <w:rFonts w:hint="eastAsia" w:ascii="宋体" w:hAnsi="宋体" w:cs="宋体"/>
                <w:b/>
                <w:szCs w:val="21"/>
              </w:rPr>
              <w:t>经济发展</w:t>
            </w:r>
          </w:p>
        </w:tc>
        <w:tc>
          <w:tcPr>
            <w:tcW w:w="709" w:type="dxa"/>
            <w:vAlign w:val="center"/>
          </w:tcPr>
          <w:p>
            <w:pPr>
              <w:jc w:val="center"/>
              <w:rPr>
                <w:rFonts w:ascii="宋体" w:hAnsi="宋体" w:cs="宋体"/>
                <w:bCs/>
                <w:szCs w:val="21"/>
              </w:rPr>
            </w:pPr>
            <w:r>
              <w:rPr>
                <w:rFonts w:hint="eastAsia" w:ascii="宋体" w:hAnsi="宋体" w:cs="宋体"/>
                <w:bCs/>
                <w:szCs w:val="21"/>
              </w:rPr>
              <w:t>8</w:t>
            </w:r>
          </w:p>
        </w:tc>
        <w:tc>
          <w:tcPr>
            <w:tcW w:w="2552" w:type="dxa"/>
            <w:vAlign w:val="center"/>
          </w:tcPr>
          <w:p>
            <w:pPr>
              <w:widowControl/>
              <w:textAlignment w:val="center"/>
              <w:rPr>
                <w:rFonts w:ascii="宋体" w:hAnsi="宋体" w:cs="宋体"/>
                <w:szCs w:val="21"/>
              </w:rPr>
            </w:pPr>
            <w:r>
              <w:rPr>
                <w:rFonts w:hint="eastAsia" w:ascii="宋体" w:hAnsi="宋体" w:cs="宋体"/>
                <w:kern w:val="0"/>
                <w:szCs w:val="21"/>
                <w:lang w:bidi="ar"/>
              </w:rPr>
              <w:t>人均GDP（元/人）</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是指在行政区域内，人均地区生产总值。反映了地区宏观经济运行状况。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jc w:val="center"/>
              <w:rPr>
                <w:rFonts w:ascii="宋体" w:hAnsi="宋体" w:cs="宋体"/>
                <w:b/>
              </w:rPr>
            </w:pPr>
          </w:p>
        </w:tc>
        <w:tc>
          <w:tcPr>
            <w:tcW w:w="709" w:type="dxa"/>
            <w:vAlign w:val="center"/>
          </w:tcPr>
          <w:p>
            <w:pPr>
              <w:jc w:val="center"/>
              <w:rPr>
                <w:rFonts w:ascii="宋体" w:hAnsi="宋体" w:cs="宋体"/>
                <w:bCs/>
                <w:szCs w:val="21"/>
              </w:rPr>
            </w:pPr>
            <w:r>
              <w:rPr>
                <w:rFonts w:hint="eastAsia" w:ascii="宋体" w:hAnsi="宋体" w:cs="宋体"/>
                <w:bCs/>
                <w:szCs w:val="21"/>
              </w:rPr>
              <w:t>9</w:t>
            </w:r>
          </w:p>
        </w:tc>
        <w:tc>
          <w:tcPr>
            <w:tcW w:w="2552" w:type="dxa"/>
            <w:vAlign w:val="center"/>
          </w:tcPr>
          <w:p>
            <w:pPr>
              <w:widowControl/>
              <w:textAlignment w:val="center"/>
              <w:rPr>
                <w:rFonts w:ascii="宋体" w:hAnsi="宋体" w:cs="宋体"/>
                <w:szCs w:val="21"/>
              </w:rPr>
            </w:pPr>
            <w:r>
              <w:rPr>
                <w:rFonts w:hint="eastAsia" w:ascii="宋体" w:hAnsi="宋体" w:cs="宋体"/>
                <w:kern w:val="0"/>
                <w:szCs w:val="21"/>
                <w:lang w:bidi="ar"/>
              </w:rPr>
              <w:t>GDP增长率（%）</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是指在行政区域内，地区生产总值的年度增长率。反映了地区宏观经济增长速度。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jc w:val="center"/>
              <w:rPr>
                <w:rFonts w:ascii="宋体" w:hAnsi="宋体" w:cs="宋体"/>
                <w:b/>
                <w:szCs w:val="21"/>
              </w:rPr>
            </w:pPr>
          </w:p>
        </w:tc>
        <w:tc>
          <w:tcPr>
            <w:tcW w:w="709" w:type="dxa"/>
            <w:vAlign w:val="center"/>
          </w:tcPr>
          <w:p>
            <w:pPr>
              <w:jc w:val="center"/>
              <w:rPr>
                <w:rFonts w:ascii="宋体" w:hAnsi="宋体" w:cs="宋体"/>
                <w:bCs/>
                <w:szCs w:val="21"/>
              </w:rPr>
            </w:pPr>
            <w:r>
              <w:rPr>
                <w:rFonts w:hint="eastAsia" w:ascii="宋体" w:hAnsi="宋体" w:cs="宋体"/>
                <w:bCs/>
                <w:szCs w:val="21"/>
              </w:rPr>
              <w:t>10</w:t>
            </w:r>
          </w:p>
        </w:tc>
        <w:tc>
          <w:tcPr>
            <w:tcW w:w="2552" w:type="dxa"/>
            <w:vAlign w:val="center"/>
          </w:tcPr>
          <w:p>
            <w:pPr>
              <w:widowControl/>
              <w:textAlignment w:val="center"/>
              <w:rPr>
                <w:rFonts w:ascii="宋体" w:hAnsi="宋体" w:cs="宋体"/>
                <w:szCs w:val="21"/>
              </w:rPr>
            </w:pPr>
            <w:r>
              <w:rPr>
                <w:rFonts w:hint="eastAsia" w:ascii="宋体" w:hAnsi="宋体" w:cs="宋体"/>
                <w:kern w:val="0"/>
                <w:szCs w:val="21"/>
                <w:lang w:bidi="ar"/>
              </w:rPr>
              <w:t>人均地方财政收入增长值（元/人）</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是指在行政区域内，人均地方财政收入年度之间增长额。反映了地区财政收入的增长速度。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675" w:type="dxa"/>
            <w:vMerge w:val="continue"/>
            <w:vAlign w:val="center"/>
          </w:tcPr>
          <w:p>
            <w:pPr>
              <w:jc w:val="center"/>
              <w:rPr>
                <w:rFonts w:ascii="宋体" w:hAnsi="宋体" w:cs="宋体"/>
                <w:b/>
                <w:szCs w:val="21"/>
              </w:rPr>
            </w:pPr>
          </w:p>
        </w:tc>
        <w:tc>
          <w:tcPr>
            <w:tcW w:w="709" w:type="dxa"/>
            <w:vAlign w:val="center"/>
          </w:tcPr>
          <w:p>
            <w:pPr>
              <w:jc w:val="center"/>
              <w:rPr>
                <w:rFonts w:ascii="宋体" w:hAnsi="宋体" w:cs="宋体"/>
                <w:bCs/>
                <w:szCs w:val="21"/>
              </w:rPr>
            </w:pPr>
            <w:r>
              <w:rPr>
                <w:rFonts w:hint="eastAsia" w:ascii="宋体" w:hAnsi="宋体" w:cs="宋体"/>
                <w:bCs/>
                <w:szCs w:val="21"/>
              </w:rPr>
              <w:t>11</w:t>
            </w:r>
          </w:p>
        </w:tc>
        <w:tc>
          <w:tcPr>
            <w:tcW w:w="2552" w:type="dxa"/>
            <w:vAlign w:val="center"/>
          </w:tcPr>
          <w:p>
            <w:pPr>
              <w:widowControl/>
              <w:textAlignment w:val="center"/>
              <w:rPr>
                <w:rFonts w:ascii="宋体" w:hAnsi="宋体" w:cs="宋体"/>
                <w:szCs w:val="21"/>
              </w:rPr>
            </w:pPr>
            <w:r>
              <w:rPr>
                <w:rFonts w:hint="eastAsia" w:ascii="宋体" w:hAnsi="宋体" w:cs="宋体"/>
                <w:kern w:val="0"/>
                <w:szCs w:val="21"/>
                <w:lang w:bidi="ar"/>
              </w:rPr>
              <w:t>城镇登记失业率（%）</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在行政区域内，城镇登记失业人员与城镇单位就业人员（扣除使用的农村劳动力、聘用的离退休人员、港澳台及外方人员）、城镇单位中的不在岗职工、城镇私营业主、个体户主、城镇私营企业和个体就业人员、城镇登记失业人员之和的比。反映了地区的就业状况，是反映地区经济景气指数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75" w:type="dxa"/>
            <w:vMerge w:val="continue"/>
            <w:vAlign w:val="center"/>
          </w:tcPr>
          <w:p>
            <w:pPr>
              <w:jc w:val="center"/>
              <w:rPr>
                <w:rFonts w:ascii="宋体" w:hAnsi="宋体" w:cs="宋体"/>
                <w:b/>
                <w:szCs w:val="21"/>
              </w:rPr>
            </w:pPr>
          </w:p>
        </w:tc>
        <w:tc>
          <w:tcPr>
            <w:tcW w:w="709" w:type="dxa"/>
            <w:vAlign w:val="center"/>
          </w:tcPr>
          <w:p>
            <w:pPr>
              <w:jc w:val="center"/>
              <w:rPr>
                <w:rFonts w:ascii="宋体" w:hAnsi="宋体" w:cs="宋体"/>
                <w:bCs/>
                <w:szCs w:val="21"/>
              </w:rPr>
            </w:pPr>
            <w:r>
              <w:rPr>
                <w:rFonts w:hint="eastAsia" w:ascii="宋体" w:hAnsi="宋体" w:cs="宋体"/>
                <w:bCs/>
                <w:szCs w:val="21"/>
              </w:rPr>
              <w:t>12</w:t>
            </w:r>
          </w:p>
        </w:tc>
        <w:tc>
          <w:tcPr>
            <w:tcW w:w="2552" w:type="dxa"/>
            <w:vAlign w:val="center"/>
          </w:tcPr>
          <w:p>
            <w:pPr>
              <w:widowControl/>
              <w:textAlignment w:val="center"/>
              <w:rPr>
                <w:rFonts w:ascii="宋体" w:hAnsi="宋体" w:cs="宋体"/>
                <w:kern w:val="0"/>
                <w:szCs w:val="21"/>
                <w:lang w:bidi="ar"/>
              </w:rPr>
            </w:pPr>
            <w:r>
              <w:rPr>
                <w:rFonts w:ascii="宋体" w:hAnsi="宋体" w:cs="宋体"/>
                <w:kern w:val="0"/>
                <w:szCs w:val="21"/>
                <w:lang w:bidi="ar"/>
              </w:rPr>
              <w:t>万元GDP综合能耗（吨标煤/万元）</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是指在行政区域内，创造每一万元所耗费的综合能源消费量，公式：万元GDP能耗=综合能源消费量（吨标准煤)/GDP（万元），单位为吨标准煤/万元。是综合反映一个地区能源利用效率的主要指标。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restart"/>
            <w:vAlign w:val="center"/>
          </w:tcPr>
          <w:p>
            <w:pPr>
              <w:jc w:val="center"/>
              <w:rPr>
                <w:rFonts w:ascii="宋体" w:hAnsi="宋体" w:cs="宋体"/>
                <w:b/>
              </w:rPr>
            </w:pPr>
            <w:r>
              <w:rPr>
                <w:rFonts w:hint="eastAsia" w:ascii="宋体" w:hAnsi="宋体" w:cs="宋体"/>
                <w:b/>
              </w:rPr>
              <w:t>民生改善</w:t>
            </w:r>
          </w:p>
        </w:tc>
        <w:tc>
          <w:tcPr>
            <w:tcW w:w="709" w:type="dxa"/>
            <w:vAlign w:val="center"/>
          </w:tcPr>
          <w:p>
            <w:pPr>
              <w:jc w:val="center"/>
              <w:rPr>
                <w:rFonts w:ascii="宋体" w:hAnsi="宋体" w:cs="宋体"/>
                <w:bCs/>
                <w:szCs w:val="21"/>
              </w:rPr>
            </w:pPr>
            <w:r>
              <w:rPr>
                <w:rFonts w:hint="eastAsia" w:ascii="宋体" w:hAnsi="宋体" w:cs="宋体"/>
                <w:bCs/>
                <w:szCs w:val="21"/>
              </w:rPr>
              <w:t>13</w:t>
            </w:r>
          </w:p>
        </w:tc>
        <w:tc>
          <w:tcPr>
            <w:tcW w:w="2552" w:type="dxa"/>
            <w:vAlign w:val="center"/>
          </w:tcPr>
          <w:p>
            <w:pPr>
              <w:widowControl/>
              <w:textAlignment w:val="center"/>
              <w:rPr>
                <w:rFonts w:ascii="宋体" w:hAnsi="宋体" w:cs="宋体"/>
                <w:szCs w:val="21"/>
              </w:rPr>
            </w:pPr>
            <w:r>
              <w:rPr>
                <w:rFonts w:hint="eastAsia" w:ascii="宋体" w:hAnsi="宋体" w:cs="宋体"/>
                <w:kern w:val="0"/>
                <w:szCs w:val="21"/>
                <w:lang w:bidi="ar"/>
              </w:rPr>
              <w:t>居民人均可支配收入（元/人）</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在行政区域内：居民人均可用于最终消费支出和储蓄的总和，即居民人均可用于自由支配的收入。既包括现金收入，也包括实物收入。按照收入的来源，人均可支配收入包含四项，分别为：工资性收入、经营净收入、财产净收入和转移净收入。即反映了地区内居民平均可支配收入水平，也反映了居民即期消费能力，是国民经济决策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75" w:type="dxa"/>
            <w:vMerge w:val="continue"/>
            <w:vAlign w:val="center"/>
          </w:tcPr>
          <w:p>
            <w:pPr>
              <w:jc w:val="center"/>
              <w:rPr>
                <w:rFonts w:ascii="宋体" w:hAnsi="宋体" w:cs="宋体"/>
                <w:b/>
              </w:rPr>
            </w:pPr>
          </w:p>
        </w:tc>
        <w:tc>
          <w:tcPr>
            <w:tcW w:w="709" w:type="dxa"/>
            <w:vAlign w:val="center"/>
          </w:tcPr>
          <w:p>
            <w:pPr>
              <w:jc w:val="center"/>
              <w:rPr>
                <w:rFonts w:ascii="宋体" w:hAnsi="宋体" w:cs="宋体"/>
                <w:bCs/>
                <w:szCs w:val="21"/>
              </w:rPr>
            </w:pPr>
            <w:r>
              <w:rPr>
                <w:rFonts w:hint="eastAsia" w:ascii="宋体" w:hAnsi="宋体" w:cs="宋体"/>
                <w:bCs/>
                <w:szCs w:val="21"/>
              </w:rPr>
              <w:t>14</w:t>
            </w:r>
          </w:p>
        </w:tc>
        <w:tc>
          <w:tcPr>
            <w:tcW w:w="2552" w:type="dxa"/>
            <w:vAlign w:val="center"/>
          </w:tcPr>
          <w:p>
            <w:pPr>
              <w:widowControl/>
              <w:textAlignment w:val="center"/>
              <w:rPr>
                <w:rFonts w:ascii="宋体" w:hAnsi="宋体" w:cs="宋体"/>
                <w:szCs w:val="21"/>
              </w:rPr>
            </w:pPr>
            <w:r>
              <w:rPr>
                <w:rFonts w:hint="eastAsia" w:ascii="宋体" w:hAnsi="宋体" w:cs="宋体"/>
                <w:kern w:val="0"/>
                <w:szCs w:val="21"/>
                <w:lang w:bidi="ar"/>
              </w:rPr>
              <w:t>人均社会消费品零售额（元/人）</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在行政区域内，企业（单位、个体户）通过交易直接售给个人、社会集团非生产、非经营用的实物商品人均金额，以及提供餐饮服务所取得的人均收入金额。个人包括城乡居民和入境人员，社会集团包括机关、社会团体、部队、学校、企事业单位、居委会或村委会等。反映了一定时期内人民物质文化生活水平的提高情况，同时也反映了社会商品购买力的实现程度和零售市场的规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jc w:val="center"/>
              <w:rPr>
                <w:rFonts w:ascii="宋体" w:hAnsi="宋体" w:cs="宋体"/>
                <w:b/>
              </w:rPr>
            </w:pPr>
          </w:p>
        </w:tc>
        <w:tc>
          <w:tcPr>
            <w:tcW w:w="709" w:type="dxa"/>
            <w:vAlign w:val="center"/>
          </w:tcPr>
          <w:p>
            <w:pPr>
              <w:jc w:val="center"/>
              <w:rPr>
                <w:rFonts w:ascii="宋体" w:hAnsi="宋体" w:cs="宋体"/>
                <w:bCs/>
                <w:szCs w:val="21"/>
              </w:rPr>
            </w:pPr>
            <w:r>
              <w:rPr>
                <w:rFonts w:hint="eastAsia" w:ascii="宋体" w:hAnsi="宋体" w:cs="宋体"/>
                <w:bCs/>
                <w:szCs w:val="21"/>
              </w:rPr>
              <w:t>15</w:t>
            </w:r>
          </w:p>
        </w:tc>
        <w:tc>
          <w:tcPr>
            <w:tcW w:w="2552" w:type="dxa"/>
            <w:vAlign w:val="center"/>
          </w:tcPr>
          <w:p>
            <w:pPr>
              <w:widowControl/>
              <w:textAlignment w:val="center"/>
              <w:rPr>
                <w:rFonts w:ascii="宋体" w:hAnsi="宋体" w:cs="宋体"/>
                <w:szCs w:val="21"/>
              </w:rPr>
            </w:pPr>
            <w:r>
              <w:rPr>
                <w:rFonts w:hint="eastAsia" w:ascii="宋体" w:hAnsi="宋体" w:cs="宋体"/>
                <w:kern w:val="0"/>
                <w:szCs w:val="21"/>
                <w:lang w:bidi="ar"/>
              </w:rPr>
              <w:t>人口平均预期寿命（岁）</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是指行政区域内，同时出生的一代人活满x岁时，尚能生存的平均年数。是衡量地区人口健康状况的重要指标之一，也是衡量地区经济社会发展水平的综合指标。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jc w:val="center"/>
              <w:rPr>
                <w:rFonts w:ascii="宋体" w:hAnsi="宋体" w:cs="宋体"/>
                <w:b/>
              </w:rPr>
            </w:pPr>
          </w:p>
        </w:tc>
        <w:tc>
          <w:tcPr>
            <w:tcW w:w="709" w:type="dxa"/>
            <w:vAlign w:val="center"/>
          </w:tcPr>
          <w:p>
            <w:pPr>
              <w:jc w:val="center"/>
              <w:rPr>
                <w:rFonts w:ascii="宋体" w:hAnsi="宋体" w:cs="宋体"/>
                <w:bCs/>
                <w:szCs w:val="21"/>
              </w:rPr>
            </w:pPr>
            <w:r>
              <w:rPr>
                <w:rFonts w:hint="eastAsia" w:ascii="宋体" w:hAnsi="宋体" w:cs="宋体"/>
                <w:bCs/>
                <w:szCs w:val="21"/>
              </w:rPr>
              <w:t>16</w:t>
            </w:r>
          </w:p>
        </w:tc>
        <w:tc>
          <w:tcPr>
            <w:tcW w:w="2552" w:type="dxa"/>
            <w:vAlign w:val="center"/>
          </w:tcPr>
          <w:p>
            <w:pPr>
              <w:widowControl/>
              <w:textAlignment w:val="center"/>
              <w:rPr>
                <w:rFonts w:ascii="宋体" w:hAnsi="宋体" w:cs="宋体"/>
                <w:szCs w:val="21"/>
              </w:rPr>
            </w:pPr>
            <w:r>
              <w:rPr>
                <w:rFonts w:hint="eastAsia" w:ascii="宋体" w:hAnsi="宋体" w:cs="宋体"/>
                <w:kern w:val="0"/>
                <w:szCs w:val="21"/>
                <w:lang w:bidi="ar"/>
              </w:rPr>
              <w:t>每万人刑事案件发生率（起/万人）</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在一定时期内每万人口中发生的刑事案件数。其中刑事案件主要包括八大类暴力性案件（杀人、抢劫、伤害、强奸、放火、爆炸、劫持、绑架），是各类犯罪中对社会安全和群众安全感影响最严重的案件。反映一个地区的社会治安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320" w:lineRule="exact"/>
              <w:jc w:val="center"/>
              <w:rPr>
                <w:rFonts w:ascii="宋体" w:hAnsi="宋体" w:cs="宋体"/>
                <w:b/>
              </w:rPr>
            </w:pPr>
          </w:p>
        </w:tc>
        <w:tc>
          <w:tcPr>
            <w:tcW w:w="709" w:type="dxa"/>
            <w:vAlign w:val="center"/>
          </w:tcPr>
          <w:p>
            <w:pPr>
              <w:spacing w:line="320" w:lineRule="exact"/>
              <w:jc w:val="center"/>
              <w:rPr>
                <w:rFonts w:ascii="宋体" w:hAnsi="宋体" w:cs="宋体"/>
                <w:bCs/>
                <w:szCs w:val="21"/>
              </w:rPr>
            </w:pPr>
            <w:r>
              <w:rPr>
                <w:rFonts w:hint="eastAsia" w:ascii="宋体" w:hAnsi="宋体" w:cs="宋体"/>
                <w:bCs/>
                <w:szCs w:val="21"/>
              </w:rPr>
              <w:t>17</w:t>
            </w:r>
          </w:p>
        </w:tc>
        <w:tc>
          <w:tcPr>
            <w:tcW w:w="2552" w:type="dxa"/>
            <w:vAlign w:val="center"/>
          </w:tcPr>
          <w:p>
            <w:pPr>
              <w:widowControl/>
              <w:textAlignment w:val="center"/>
              <w:rPr>
                <w:rFonts w:ascii="宋体" w:hAnsi="宋体" w:cs="宋体"/>
                <w:szCs w:val="21"/>
              </w:rPr>
            </w:pPr>
            <w:r>
              <w:rPr>
                <w:rFonts w:hint="eastAsia" w:ascii="宋体" w:hAnsi="宋体" w:cs="宋体"/>
                <w:szCs w:val="21"/>
              </w:rPr>
              <w:t>各类收养性社会福利单位床位数（张）</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是指行政区域内，提供食宿，不以盈利为目的收养性社会福利服务机构的床位数。反映社会福利设施的状况。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675" w:type="dxa"/>
            <w:vMerge w:val="continue"/>
            <w:vAlign w:val="center"/>
          </w:tcPr>
          <w:p>
            <w:pPr>
              <w:jc w:val="center"/>
              <w:rPr>
                <w:rFonts w:ascii="宋体" w:hAnsi="宋体" w:cs="宋体"/>
                <w:b/>
              </w:rPr>
            </w:pPr>
          </w:p>
        </w:tc>
        <w:tc>
          <w:tcPr>
            <w:tcW w:w="709" w:type="dxa"/>
            <w:vAlign w:val="center"/>
          </w:tcPr>
          <w:p>
            <w:pPr>
              <w:jc w:val="center"/>
              <w:rPr>
                <w:rFonts w:ascii="宋体" w:hAnsi="宋体" w:cs="宋体"/>
                <w:bCs/>
                <w:szCs w:val="21"/>
              </w:rPr>
            </w:pPr>
            <w:r>
              <w:rPr>
                <w:rFonts w:hint="eastAsia" w:ascii="宋体" w:hAnsi="宋体" w:cs="宋体"/>
                <w:bCs/>
                <w:szCs w:val="21"/>
              </w:rPr>
              <w:t>18</w:t>
            </w:r>
          </w:p>
        </w:tc>
        <w:tc>
          <w:tcPr>
            <w:tcW w:w="2552" w:type="dxa"/>
            <w:vAlign w:val="center"/>
          </w:tcPr>
          <w:p>
            <w:pPr>
              <w:widowControl/>
              <w:textAlignment w:val="center"/>
              <w:rPr>
                <w:rFonts w:ascii="宋体" w:hAnsi="宋体" w:cs="宋体"/>
                <w:szCs w:val="21"/>
              </w:rPr>
            </w:pPr>
            <w:r>
              <w:rPr>
                <w:rFonts w:hint="eastAsia" w:ascii="宋体" w:hAnsi="宋体" w:cs="宋体"/>
                <w:kern w:val="0"/>
                <w:szCs w:val="21"/>
                <w:lang w:bidi="ar"/>
              </w:rPr>
              <w:t>基本养老保险参保率（%）</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是指行政区域内，城市和农村社会养老保险参保人数与地区内常住人口人数的比。反映了地区社会保障能力和社会稳定性。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675" w:type="dxa"/>
            <w:vMerge w:val="continue"/>
            <w:vAlign w:val="center"/>
          </w:tcPr>
          <w:p>
            <w:pPr>
              <w:jc w:val="center"/>
              <w:rPr>
                <w:rFonts w:ascii="宋体" w:hAnsi="宋体" w:cs="宋体"/>
                <w:b/>
              </w:rPr>
            </w:pPr>
          </w:p>
        </w:tc>
        <w:tc>
          <w:tcPr>
            <w:tcW w:w="709" w:type="dxa"/>
            <w:vAlign w:val="center"/>
          </w:tcPr>
          <w:p>
            <w:pPr>
              <w:jc w:val="center"/>
              <w:rPr>
                <w:rFonts w:ascii="宋体" w:hAnsi="宋体" w:cs="宋体"/>
                <w:bCs/>
                <w:szCs w:val="21"/>
              </w:rPr>
            </w:pPr>
            <w:r>
              <w:rPr>
                <w:rFonts w:hint="eastAsia" w:ascii="宋体" w:hAnsi="宋体" w:cs="宋体"/>
                <w:bCs/>
                <w:szCs w:val="21"/>
              </w:rPr>
              <w:t>19</w:t>
            </w:r>
          </w:p>
        </w:tc>
        <w:tc>
          <w:tcPr>
            <w:tcW w:w="2552" w:type="dxa"/>
            <w:vAlign w:val="center"/>
          </w:tcPr>
          <w:p>
            <w:pPr>
              <w:widowControl/>
              <w:textAlignment w:val="center"/>
              <w:rPr>
                <w:rFonts w:ascii="宋体" w:hAnsi="宋体" w:cs="宋体"/>
                <w:kern w:val="0"/>
                <w:szCs w:val="21"/>
                <w:lang w:bidi="ar"/>
              </w:rPr>
            </w:pPr>
            <w:r>
              <w:rPr>
                <w:rFonts w:ascii="宋体" w:hAnsi="宋体" w:cs="宋体"/>
                <w:kern w:val="0"/>
                <w:szCs w:val="21"/>
                <w:lang w:bidi="ar"/>
              </w:rPr>
              <w:t>千人医疗机构床位数（张）</w:t>
            </w:r>
          </w:p>
        </w:tc>
        <w:tc>
          <w:tcPr>
            <w:tcW w:w="10773" w:type="dxa"/>
          </w:tcPr>
          <w:p>
            <w:pPr>
              <w:spacing w:line="320" w:lineRule="exact"/>
              <w:rPr>
                <w:rFonts w:ascii="宋体" w:hAnsi="宋体" w:cs="宋体"/>
                <w:kern w:val="0"/>
                <w:szCs w:val="21"/>
                <w:lang w:bidi="ar"/>
              </w:rPr>
            </w:pPr>
            <w:r>
              <w:rPr>
                <w:rFonts w:hint="eastAsia" w:ascii="仿宋" w:hAnsi="仿宋" w:eastAsia="仿宋" w:cs="仿宋"/>
                <w:spacing w:val="-8"/>
                <w:szCs w:val="21"/>
              </w:rPr>
              <w:t>是指行政区域内，每千人口拥有医疗卫生机构床位数量，计算公式：每千人口医疗卫生机构床位=医疗卫生机构床位数/常住人口数×100%。指标体现了医疗卫生机构床位的分布情况,也反映了医疗卫生服务的可及性。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jc w:val="center"/>
              <w:rPr>
                <w:rFonts w:ascii="宋体" w:hAnsi="宋体" w:cs="宋体"/>
                <w:b/>
              </w:rPr>
            </w:pPr>
          </w:p>
        </w:tc>
        <w:tc>
          <w:tcPr>
            <w:tcW w:w="709" w:type="dxa"/>
            <w:vAlign w:val="center"/>
          </w:tcPr>
          <w:p>
            <w:pPr>
              <w:jc w:val="center"/>
              <w:rPr>
                <w:rFonts w:ascii="宋体" w:hAnsi="宋体" w:cs="宋体"/>
                <w:bCs/>
                <w:szCs w:val="21"/>
              </w:rPr>
            </w:pPr>
            <w:r>
              <w:rPr>
                <w:rFonts w:hint="eastAsia" w:ascii="宋体" w:hAnsi="宋体" w:cs="宋体"/>
                <w:bCs/>
                <w:szCs w:val="21"/>
              </w:rPr>
              <w:t>20</w:t>
            </w:r>
          </w:p>
        </w:tc>
        <w:tc>
          <w:tcPr>
            <w:tcW w:w="2552" w:type="dxa"/>
            <w:vAlign w:val="center"/>
          </w:tcPr>
          <w:p>
            <w:pPr>
              <w:widowControl/>
              <w:textAlignment w:val="center"/>
              <w:rPr>
                <w:rFonts w:ascii="宋体" w:hAnsi="宋体" w:cs="宋体"/>
                <w:szCs w:val="21"/>
              </w:rPr>
            </w:pPr>
            <w:r>
              <w:rPr>
                <w:rFonts w:hint="eastAsia" w:ascii="宋体" w:hAnsi="宋体" w:cs="宋体"/>
                <w:kern w:val="0"/>
                <w:szCs w:val="21"/>
                <w:lang w:bidi="ar"/>
              </w:rPr>
              <w:t>新增劳动力平均受教育年限（年）</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是指行政区域内，新增达到劳动年龄（16岁）人口平均受教育的年限。反映劳动力文化教育程度的综合指标，表现劳动力文化教育程度的现状和发展变化。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jc w:val="center"/>
              <w:rPr>
                <w:rFonts w:ascii="宋体" w:hAnsi="宋体" w:cs="宋体"/>
                <w:b/>
              </w:rPr>
            </w:pPr>
          </w:p>
        </w:tc>
        <w:tc>
          <w:tcPr>
            <w:tcW w:w="709" w:type="dxa"/>
            <w:vAlign w:val="center"/>
          </w:tcPr>
          <w:p>
            <w:pPr>
              <w:jc w:val="center"/>
              <w:rPr>
                <w:rFonts w:ascii="宋体" w:hAnsi="宋体" w:cs="宋体"/>
                <w:bCs/>
                <w:szCs w:val="21"/>
              </w:rPr>
            </w:pPr>
            <w:r>
              <w:rPr>
                <w:rFonts w:hint="eastAsia" w:ascii="宋体" w:hAnsi="宋体" w:cs="宋体"/>
                <w:bCs/>
                <w:szCs w:val="21"/>
              </w:rPr>
              <w:t>21</w:t>
            </w:r>
          </w:p>
        </w:tc>
        <w:tc>
          <w:tcPr>
            <w:tcW w:w="2552" w:type="dxa"/>
            <w:vAlign w:val="center"/>
          </w:tcPr>
          <w:p>
            <w:pPr>
              <w:widowControl/>
              <w:textAlignment w:val="center"/>
              <w:rPr>
                <w:rFonts w:ascii="宋体" w:hAnsi="宋体" w:cs="宋体"/>
                <w:szCs w:val="21"/>
              </w:rPr>
            </w:pPr>
            <w:r>
              <w:rPr>
                <w:rFonts w:hint="eastAsia" w:ascii="宋体" w:hAnsi="宋体" w:cs="宋体"/>
                <w:kern w:val="0"/>
                <w:szCs w:val="21"/>
                <w:lang w:bidi="ar"/>
              </w:rPr>
              <w:t>城镇化率（%）</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是指行政区域内，城镇人口占常</w:t>
            </w:r>
            <w:r>
              <w:rPr>
                <w:rFonts w:hint="eastAsia" w:ascii="仿宋" w:hAnsi="仿宋" w:eastAsia="仿宋" w:cs="仿宋"/>
                <w:spacing w:val="-8"/>
                <w:szCs w:val="21"/>
                <w:lang w:eastAsia="zh-CN"/>
              </w:rPr>
              <w:t>住</w:t>
            </w:r>
            <w:r>
              <w:rPr>
                <w:rFonts w:hint="eastAsia" w:ascii="仿宋" w:hAnsi="仿宋" w:eastAsia="仿宋" w:cs="仿宋"/>
                <w:spacing w:val="-8"/>
                <w:szCs w:val="21"/>
              </w:rPr>
              <w:t>人口（包括农业与非农业）的比重，一般以人口城镇化作为城镇化率。反映地区城镇现代化水平。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jc w:val="center"/>
              <w:rPr>
                <w:rFonts w:ascii="宋体" w:hAnsi="宋体" w:cs="宋体"/>
                <w:b/>
              </w:rPr>
            </w:pPr>
          </w:p>
        </w:tc>
        <w:tc>
          <w:tcPr>
            <w:tcW w:w="709" w:type="dxa"/>
            <w:vAlign w:val="center"/>
          </w:tcPr>
          <w:p>
            <w:pPr>
              <w:spacing w:line="320" w:lineRule="exact"/>
              <w:jc w:val="center"/>
              <w:rPr>
                <w:rFonts w:ascii="宋体" w:hAnsi="宋体" w:cs="宋体"/>
                <w:bCs/>
                <w:szCs w:val="21"/>
              </w:rPr>
            </w:pPr>
            <w:r>
              <w:rPr>
                <w:rFonts w:hint="eastAsia" w:ascii="宋体" w:hAnsi="宋体" w:cs="宋体"/>
                <w:bCs/>
                <w:szCs w:val="21"/>
              </w:rPr>
              <w:t>22</w:t>
            </w:r>
          </w:p>
        </w:tc>
        <w:tc>
          <w:tcPr>
            <w:tcW w:w="2552" w:type="dxa"/>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人均公路通车里程（公里/人）</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实际达到交通部制定的公路工程技术标准规定的等级公路长度。它包括大中城市的郊区以及通过小城镇街道的公路里程，也包括桥梁、渡口的长度，但不包括城市街道以及厂矿、林区和农业生产用道的里程。两条或多条公路共同径由同一路段，只计算一次，不得重复计算里程长度。反映公路建设发展规模的重要指标，也是计算运输网密度等指标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jc w:val="center"/>
              <w:rPr>
                <w:rFonts w:ascii="宋体" w:hAnsi="宋体" w:cs="宋体"/>
                <w:b/>
              </w:rPr>
            </w:pPr>
          </w:p>
        </w:tc>
        <w:tc>
          <w:tcPr>
            <w:tcW w:w="709" w:type="dxa"/>
            <w:vAlign w:val="center"/>
          </w:tcPr>
          <w:p>
            <w:pPr>
              <w:spacing w:line="320" w:lineRule="exact"/>
              <w:jc w:val="center"/>
              <w:rPr>
                <w:rFonts w:ascii="宋体" w:hAnsi="宋体" w:cs="宋体"/>
                <w:bCs/>
                <w:szCs w:val="21"/>
              </w:rPr>
            </w:pPr>
            <w:r>
              <w:rPr>
                <w:rFonts w:hint="eastAsia" w:ascii="宋体" w:hAnsi="宋体" w:cs="宋体"/>
                <w:bCs/>
                <w:szCs w:val="21"/>
              </w:rPr>
              <w:t>23</w:t>
            </w:r>
          </w:p>
        </w:tc>
        <w:tc>
          <w:tcPr>
            <w:tcW w:w="2552" w:type="dxa"/>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人均公共文化设施面积（平方米/人）</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是指行政区域内，每人拥有的公益性文化设施和体育设施的建设用地面积。公益性文化设施指按照要求城市必须设置的图书馆、美术馆、博物馆、文化馆、科技馆等设施。反映了地区居民的生活质量与宜居环境。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restart"/>
            <w:vAlign w:val="center"/>
          </w:tcPr>
          <w:p>
            <w:pPr>
              <w:spacing w:line="320" w:lineRule="exact"/>
              <w:jc w:val="center"/>
              <w:rPr>
                <w:rFonts w:ascii="宋体" w:hAnsi="宋体" w:cs="宋体"/>
                <w:b/>
                <w:szCs w:val="21"/>
              </w:rPr>
            </w:pPr>
            <w:r>
              <w:rPr>
                <w:rFonts w:hint="eastAsia" w:ascii="宋体" w:hAnsi="宋体" w:cs="宋体"/>
                <w:b/>
                <w:szCs w:val="21"/>
              </w:rPr>
              <w:t>资源环境</w:t>
            </w:r>
          </w:p>
        </w:tc>
        <w:tc>
          <w:tcPr>
            <w:tcW w:w="709" w:type="dxa"/>
            <w:vAlign w:val="center"/>
          </w:tcPr>
          <w:p>
            <w:pPr>
              <w:spacing w:line="320" w:lineRule="exact"/>
              <w:jc w:val="center"/>
              <w:rPr>
                <w:rFonts w:ascii="宋体" w:hAnsi="宋体" w:cs="宋体"/>
                <w:bCs/>
                <w:szCs w:val="21"/>
              </w:rPr>
            </w:pPr>
            <w:r>
              <w:rPr>
                <w:rFonts w:hint="eastAsia" w:ascii="宋体" w:hAnsi="宋体" w:cs="宋体"/>
                <w:bCs/>
                <w:szCs w:val="21"/>
              </w:rPr>
              <w:t>24</w:t>
            </w:r>
          </w:p>
        </w:tc>
        <w:tc>
          <w:tcPr>
            <w:tcW w:w="2552" w:type="dxa"/>
            <w:vAlign w:val="center"/>
          </w:tcPr>
          <w:p>
            <w:pPr>
              <w:widowControl/>
              <w:textAlignment w:val="center"/>
              <w:rPr>
                <w:rFonts w:ascii="宋体" w:hAnsi="宋体" w:cs="宋体"/>
                <w:szCs w:val="21"/>
              </w:rPr>
            </w:pPr>
            <w:r>
              <w:rPr>
                <w:rFonts w:hint="eastAsia" w:ascii="宋体" w:hAnsi="宋体" w:cs="宋体"/>
                <w:kern w:val="0"/>
                <w:szCs w:val="21"/>
                <w:lang w:bidi="ar"/>
              </w:rPr>
              <w:t>森林覆盖率（%）</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是指行政区域内，森林面积占区域土地总面积的百分比。反映森林资源的丰富程度和生态平衡状况的重要指标。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320" w:lineRule="exact"/>
              <w:jc w:val="center"/>
              <w:rPr>
                <w:rFonts w:ascii="宋体" w:hAnsi="宋体" w:cs="宋体"/>
                <w:b/>
                <w:szCs w:val="21"/>
              </w:rPr>
            </w:pPr>
          </w:p>
        </w:tc>
        <w:tc>
          <w:tcPr>
            <w:tcW w:w="709" w:type="dxa"/>
            <w:vAlign w:val="center"/>
          </w:tcPr>
          <w:p>
            <w:pPr>
              <w:spacing w:line="320" w:lineRule="exact"/>
              <w:jc w:val="center"/>
              <w:rPr>
                <w:rFonts w:ascii="宋体" w:hAnsi="宋体" w:cs="宋体"/>
                <w:bCs/>
                <w:szCs w:val="21"/>
              </w:rPr>
            </w:pPr>
            <w:r>
              <w:rPr>
                <w:rFonts w:hint="eastAsia" w:ascii="宋体" w:hAnsi="宋体" w:cs="宋体"/>
                <w:bCs/>
                <w:szCs w:val="21"/>
              </w:rPr>
              <w:t>25</w:t>
            </w:r>
          </w:p>
        </w:tc>
        <w:tc>
          <w:tcPr>
            <w:tcW w:w="2552" w:type="dxa"/>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地表水达到或好于Ⅲ类水体比例（%）</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是指行政区域内，河流、湖泊以及冰川等可以逐年更新的动态地表水体，达到Ⅲ类水体以上的比例。反映水资源的丰富程度。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320" w:lineRule="exact"/>
              <w:jc w:val="center"/>
              <w:rPr>
                <w:rFonts w:eastAsia="仿宋_GB2312"/>
                <w:b/>
                <w:szCs w:val="21"/>
              </w:rPr>
            </w:pPr>
          </w:p>
        </w:tc>
        <w:tc>
          <w:tcPr>
            <w:tcW w:w="709" w:type="dxa"/>
            <w:vAlign w:val="center"/>
          </w:tcPr>
          <w:p>
            <w:pPr>
              <w:spacing w:line="320" w:lineRule="exact"/>
              <w:jc w:val="center"/>
              <w:rPr>
                <w:rFonts w:ascii="宋体" w:hAnsi="宋体" w:cs="宋体"/>
                <w:bCs/>
                <w:szCs w:val="21"/>
              </w:rPr>
            </w:pPr>
            <w:r>
              <w:rPr>
                <w:rFonts w:hint="eastAsia" w:ascii="宋体" w:hAnsi="宋体" w:cs="宋体"/>
                <w:bCs/>
                <w:szCs w:val="21"/>
              </w:rPr>
              <w:t>26</w:t>
            </w:r>
          </w:p>
        </w:tc>
        <w:tc>
          <w:tcPr>
            <w:tcW w:w="2552" w:type="dxa"/>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空气质量达到或好于二级以上天数（天）</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是指行政区域内，空气环境质量达到国家有关功能区标准要求的天数，按《环境空气质量标准》（</w:t>
            </w:r>
            <w:r>
              <w:rPr>
                <w:rFonts w:ascii="仿宋" w:hAnsi="仿宋" w:eastAsia="仿宋" w:cs="仿宋"/>
                <w:spacing w:val="-8"/>
                <w:szCs w:val="21"/>
              </w:rPr>
              <w:t>GB 3095</w:t>
            </w:r>
            <w:r>
              <w:rPr>
                <w:rFonts w:hint="eastAsia" w:ascii="仿宋" w:hAnsi="仿宋" w:eastAsia="仿宋" w:cs="仿宋"/>
                <w:spacing w:val="-8"/>
                <w:szCs w:val="21"/>
              </w:rPr>
              <w:t>）现行标准执行。反映了地区空气环境污染程度。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320" w:lineRule="exact"/>
              <w:jc w:val="center"/>
              <w:rPr>
                <w:rFonts w:eastAsia="仿宋_GB2312"/>
                <w:b/>
                <w:szCs w:val="21"/>
              </w:rPr>
            </w:pPr>
          </w:p>
        </w:tc>
        <w:tc>
          <w:tcPr>
            <w:tcW w:w="709" w:type="dxa"/>
            <w:vAlign w:val="center"/>
          </w:tcPr>
          <w:p>
            <w:pPr>
              <w:spacing w:line="320" w:lineRule="exact"/>
              <w:jc w:val="center"/>
              <w:rPr>
                <w:rFonts w:ascii="宋体" w:hAnsi="宋体" w:cs="宋体"/>
                <w:bCs/>
                <w:szCs w:val="21"/>
              </w:rPr>
            </w:pPr>
            <w:r>
              <w:rPr>
                <w:rFonts w:hint="eastAsia" w:ascii="宋体" w:hAnsi="宋体" w:cs="宋体"/>
                <w:bCs/>
                <w:szCs w:val="21"/>
              </w:rPr>
              <w:t>27</w:t>
            </w:r>
          </w:p>
        </w:tc>
        <w:tc>
          <w:tcPr>
            <w:tcW w:w="2552" w:type="dxa"/>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一般工业固体废物综合利用率（%）</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是指行政区域内，一般工业固体废物综合利用量占工业固体废物产生量(包括综合利用往年贮存量)的百分率。反映了地区工业固体废物污染程度和资源循环利用能力。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320" w:lineRule="exact"/>
              <w:jc w:val="center"/>
              <w:rPr>
                <w:rFonts w:eastAsia="仿宋_GB2312"/>
                <w:b/>
                <w:szCs w:val="21"/>
              </w:rPr>
            </w:pPr>
          </w:p>
        </w:tc>
        <w:tc>
          <w:tcPr>
            <w:tcW w:w="709" w:type="dxa"/>
            <w:vAlign w:val="center"/>
          </w:tcPr>
          <w:p>
            <w:pPr>
              <w:spacing w:line="320" w:lineRule="exact"/>
              <w:jc w:val="center"/>
              <w:rPr>
                <w:rFonts w:ascii="宋体" w:hAnsi="宋体" w:cs="宋体"/>
                <w:bCs/>
                <w:szCs w:val="21"/>
              </w:rPr>
            </w:pPr>
            <w:r>
              <w:rPr>
                <w:rFonts w:hint="eastAsia" w:ascii="宋体" w:hAnsi="宋体" w:cs="宋体"/>
                <w:bCs/>
                <w:szCs w:val="21"/>
              </w:rPr>
              <w:t>28</w:t>
            </w:r>
          </w:p>
        </w:tc>
        <w:tc>
          <w:tcPr>
            <w:tcW w:w="2552" w:type="dxa"/>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工业废水排放强度（排放量）（吨/万元）</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经过企业厂区所有排放口排到企业外部的工业废水量与GDP的比值。工业废水量包括生产废水、外排的直接冷却水、超标排放的矿井地下水和与工业废水混排的厂区生活污水，不包括外排的间接冷却水（清污不分流的间接冷却水应计算在内）。反映地区水资源工业污染程度和工业废水综合治理能力及水资源循环利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320" w:lineRule="exact"/>
              <w:jc w:val="center"/>
              <w:rPr>
                <w:rFonts w:eastAsia="仿宋_GB2312"/>
                <w:b/>
                <w:szCs w:val="21"/>
              </w:rPr>
            </w:pPr>
          </w:p>
        </w:tc>
        <w:tc>
          <w:tcPr>
            <w:tcW w:w="709" w:type="dxa"/>
            <w:vAlign w:val="center"/>
          </w:tcPr>
          <w:p>
            <w:pPr>
              <w:spacing w:line="320" w:lineRule="exact"/>
              <w:jc w:val="center"/>
              <w:rPr>
                <w:rFonts w:ascii="宋体" w:hAnsi="宋体" w:cs="宋体"/>
                <w:bCs/>
                <w:szCs w:val="21"/>
              </w:rPr>
            </w:pPr>
            <w:r>
              <w:rPr>
                <w:rFonts w:hint="eastAsia" w:ascii="宋体" w:hAnsi="宋体" w:cs="宋体"/>
                <w:bCs/>
                <w:szCs w:val="21"/>
              </w:rPr>
              <w:t>29</w:t>
            </w:r>
          </w:p>
        </w:tc>
        <w:tc>
          <w:tcPr>
            <w:tcW w:w="2552" w:type="dxa"/>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单位耕地面积化肥用量（公斤/亩）</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内，报告期内实际用于农业生产的主要化肥品种（20%）数量与辖区耕地面积的比值。单位耕地面积化肥用量=地区化肥施用总量/耕地面积。衡量地区合理利用农业土地资源，保持农业生态环境健康可持续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Merge w:val="continue"/>
            <w:vAlign w:val="center"/>
          </w:tcPr>
          <w:p>
            <w:pPr>
              <w:spacing w:line="320" w:lineRule="exact"/>
              <w:jc w:val="center"/>
              <w:rPr>
                <w:rFonts w:eastAsia="仿宋_GB2312"/>
                <w:b/>
                <w:szCs w:val="21"/>
              </w:rPr>
            </w:pPr>
          </w:p>
        </w:tc>
        <w:tc>
          <w:tcPr>
            <w:tcW w:w="709" w:type="dxa"/>
            <w:vAlign w:val="center"/>
          </w:tcPr>
          <w:p>
            <w:pPr>
              <w:spacing w:line="320" w:lineRule="exact"/>
              <w:jc w:val="center"/>
              <w:rPr>
                <w:rFonts w:ascii="宋体" w:hAnsi="宋体" w:cs="宋体"/>
                <w:bCs/>
                <w:szCs w:val="21"/>
              </w:rPr>
            </w:pPr>
            <w:r>
              <w:rPr>
                <w:rFonts w:hint="eastAsia" w:ascii="宋体" w:hAnsi="宋体" w:cs="宋体"/>
                <w:bCs/>
                <w:szCs w:val="21"/>
              </w:rPr>
              <w:t>30</w:t>
            </w:r>
          </w:p>
        </w:tc>
        <w:tc>
          <w:tcPr>
            <w:tcW w:w="2552" w:type="dxa"/>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规模化畜禽养殖场粪便综合利用率（%）</w:t>
            </w:r>
          </w:p>
        </w:tc>
        <w:tc>
          <w:tcPr>
            <w:tcW w:w="10773" w:type="dxa"/>
          </w:tcPr>
          <w:p>
            <w:pPr>
              <w:spacing w:line="320" w:lineRule="exact"/>
              <w:rPr>
                <w:rFonts w:ascii="仿宋" w:hAnsi="仿宋" w:eastAsia="仿宋" w:cs="仿宋"/>
                <w:spacing w:val="-8"/>
                <w:szCs w:val="21"/>
              </w:rPr>
            </w:pPr>
            <w:r>
              <w:rPr>
                <w:rFonts w:hint="eastAsia" w:ascii="仿宋" w:hAnsi="仿宋" w:eastAsia="仿宋" w:cs="仿宋"/>
                <w:spacing w:val="-8"/>
                <w:szCs w:val="21"/>
              </w:rPr>
              <w:t>是指行政区域内，规模化畜禽养殖场综合利用的畜禽粪便量占畜禽粪便产生总量的比例。衡量地区规模化畜禽养殖场环境治理能力，保持农业生态环境健康可持续发展的能力。</w:t>
            </w:r>
          </w:p>
        </w:tc>
      </w:tr>
    </w:tbl>
    <w:p/>
    <w:sectPr>
      <w:pgSz w:w="16838" w:h="11906" w:orient="landscape"/>
      <w:pgMar w:top="130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A5"/>
    <w:rsid w:val="000615C0"/>
    <w:rsid w:val="00121478"/>
    <w:rsid w:val="001677E2"/>
    <w:rsid w:val="001C0B70"/>
    <w:rsid w:val="001F3602"/>
    <w:rsid w:val="002530E2"/>
    <w:rsid w:val="003F1C45"/>
    <w:rsid w:val="00512A04"/>
    <w:rsid w:val="00532B02"/>
    <w:rsid w:val="00553243"/>
    <w:rsid w:val="005A64AD"/>
    <w:rsid w:val="005B4957"/>
    <w:rsid w:val="006A5554"/>
    <w:rsid w:val="007470B8"/>
    <w:rsid w:val="007B4333"/>
    <w:rsid w:val="007B470B"/>
    <w:rsid w:val="007B4892"/>
    <w:rsid w:val="007D4E97"/>
    <w:rsid w:val="00852495"/>
    <w:rsid w:val="0088417A"/>
    <w:rsid w:val="00894985"/>
    <w:rsid w:val="00947664"/>
    <w:rsid w:val="00967F22"/>
    <w:rsid w:val="009F1CAC"/>
    <w:rsid w:val="009F3799"/>
    <w:rsid w:val="00A2340A"/>
    <w:rsid w:val="00A32E40"/>
    <w:rsid w:val="00A61D99"/>
    <w:rsid w:val="00A66E20"/>
    <w:rsid w:val="00A84EF4"/>
    <w:rsid w:val="00AA6659"/>
    <w:rsid w:val="00B368B8"/>
    <w:rsid w:val="00B37929"/>
    <w:rsid w:val="00C3176B"/>
    <w:rsid w:val="00C8259F"/>
    <w:rsid w:val="00C83F9D"/>
    <w:rsid w:val="00CD3BA5"/>
    <w:rsid w:val="00D11B26"/>
    <w:rsid w:val="00D353CA"/>
    <w:rsid w:val="00DC0DFA"/>
    <w:rsid w:val="00DC1AA0"/>
    <w:rsid w:val="00E36928"/>
    <w:rsid w:val="00E51700"/>
    <w:rsid w:val="00E754CD"/>
    <w:rsid w:val="00E976B4"/>
    <w:rsid w:val="00F075EF"/>
    <w:rsid w:val="00F22881"/>
    <w:rsid w:val="00F26FFD"/>
    <w:rsid w:val="00F6628C"/>
    <w:rsid w:val="00FA428B"/>
    <w:rsid w:val="00FA76C4"/>
    <w:rsid w:val="00FB6457"/>
    <w:rsid w:val="00FF03D5"/>
    <w:rsid w:val="BF47E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eastAsia" w:ascii="宋体" w:hAnsi="宋体" w:eastAsia="宋体" w:cs="宋体"/>
      <w:color w:val="000000"/>
      <w:sz w:val="22"/>
      <w:szCs w:val="22"/>
      <w:u w:val="none"/>
    </w:rPr>
  </w:style>
  <w:style w:type="character" w:customStyle="1" w:styleId="7">
    <w:name w:val="font01"/>
    <w:basedOn w:val="5"/>
    <w:qFormat/>
    <w:uiPriority w:val="0"/>
    <w:rPr>
      <w:rFonts w:hint="eastAsia" w:ascii="宋体" w:hAnsi="宋体" w:eastAsia="宋体" w:cs="宋体"/>
      <w:color w:val="FF0000"/>
      <w:sz w:val="22"/>
      <w:szCs w:val="22"/>
      <w:u w:val="none"/>
    </w:rPr>
  </w:style>
  <w:style w:type="character" w:customStyle="1" w:styleId="8">
    <w:name w:val="页眉 Char"/>
    <w:basedOn w:val="5"/>
    <w:link w:val="3"/>
    <w:qFormat/>
    <w:uiPriority w:val="99"/>
    <w:rPr>
      <w:rFonts w:ascii="Times New Roman" w:hAnsi="Times New Roman" w:eastAsia="宋体" w:cs="Times New Roman"/>
      <w:sz w:val="18"/>
      <w:szCs w:val="18"/>
    </w:rPr>
  </w:style>
  <w:style w:type="character" w:customStyle="1" w:styleId="9">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12XzzX.CoM</Company>
  <Pages>4</Pages>
  <Words>607</Words>
  <Characters>3464</Characters>
  <Lines>28</Lines>
  <Paragraphs>8</Paragraphs>
  <TotalTime>57</TotalTime>
  <ScaleCrop>false</ScaleCrop>
  <LinksUpToDate>false</LinksUpToDate>
  <CharactersWithSpaces>4063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2020-07-08T10:25:00Z</dcterms:created>
  <dc:creator>xz</dc:creator>
  <cp:lastModifiedBy>greatwall</cp:lastModifiedBy>
  <cp:lastPrinted>2020-04-20T09:13:00Z</cp:lastPrinted>
  <dcterms:modified xsi:type="dcterms:W3CDTF">2023-05-29T09:13:28Z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