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pageBreakBefore w:val="0"/>
        <w:kinsoku/>
        <w:wordWrap/>
        <w:overflowPunct/>
        <w:bidi w:val="0"/>
        <w:spacing w:before="240" w:beforeLines="100" w:line="440" w:lineRule="exact"/>
        <w:jc w:val="center"/>
        <w:rPr>
          <w:rFonts w:hAnsi="宋体"/>
          <w:b/>
          <w:sz w:val="84"/>
          <w:szCs w:val="84"/>
        </w:rPr>
      </w:pPr>
      <w:r>
        <w:rPr>
          <w:rFonts w:hint="eastAsia" w:hAnsi="宋体"/>
          <w:b/>
          <w:sz w:val="84"/>
          <w:szCs w:val="84"/>
        </w:rPr>
        <w:t xml:space="preserve">                    </w:t>
      </w:r>
    </w:p>
    <w:p>
      <w:pPr>
        <w:pStyle w:val="18"/>
        <w:pageBreakBefore w:val="0"/>
        <w:kinsoku/>
        <w:wordWrap/>
        <w:overflowPunct/>
        <w:bidi w:val="0"/>
        <w:spacing w:before="240" w:beforeLines="100" w:line="440" w:lineRule="exact"/>
        <w:jc w:val="center"/>
        <w:rPr>
          <w:rFonts w:hAnsi="宋体"/>
          <w:b/>
          <w:sz w:val="84"/>
          <w:szCs w:val="84"/>
        </w:rPr>
      </w:pPr>
    </w:p>
    <w:p>
      <w:pPr>
        <w:pStyle w:val="18"/>
        <w:pageBreakBefore w:val="0"/>
        <w:kinsoku/>
        <w:wordWrap/>
        <w:overflowPunct/>
        <w:bidi w:val="0"/>
        <w:adjustRightInd w:val="0"/>
        <w:snapToGrid w:val="0"/>
        <w:spacing w:line="360" w:lineRule="auto"/>
        <w:jc w:val="center"/>
        <w:rPr>
          <w:rFonts w:ascii="黑体" w:hAnsi="华文中宋" w:eastAsia="黑体"/>
          <w:b/>
          <w:sz w:val="96"/>
          <w:szCs w:val="96"/>
        </w:rPr>
      </w:pPr>
      <w:r>
        <w:rPr>
          <w:rFonts w:hint="eastAsia" w:ascii="黑体" w:hAnsi="华文中宋" w:eastAsia="黑体"/>
          <w:b/>
          <w:sz w:val="96"/>
          <w:szCs w:val="96"/>
        </w:rPr>
        <w:t xml:space="preserve">政府采购                                                                                                                                                                                                         </w:t>
      </w:r>
    </w:p>
    <w:p>
      <w:pPr>
        <w:pStyle w:val="18"/>
        <w:pageBreakBefore w:val="0"/>
        <w:kinsoku/>
        <w:wordWrap/>
        <w:overflowPunct/>
        <w:bidi w:val="0"/>
        <w:adjustRightInd w:val="0"/>
        <w:snapToGrid w:val="0"/>
        <w:spacing w:line="360" w:lineRule="auto"/>
        <w:jc w:val="center"/>
        <w:rPr>
          <w:rFonts w:hAnsi="宋体"/>
          <w:sz w:val="32"/>
          <w:szCs w:val="32"/>
        </w:rPr>
      </w:pPr>
      <w:r>
        <w:rPr>
          <w:rFonts w:hint="eastAsia" w:ascii="黑体" w:hAnsi="华文中宋" w:eastAsia="黑体"/>
          <w:b/>
          <w:sz w:val="96"/>
          <w:szCs w:val="96"/>
        </w:rPr>
        <w:t>竞争性磋商文件</w:t>
      </w:r>
    </w:p>
    <w:p>
      <w:pPr>
        <w:pageBreakBefore w:val="0"/>
        <w:kinsoku/>
        <w:wordWrap/>
        <w:overflowPunct/>
        <w:bidi w:val="0"/>
        <w:spacing w:line="360" w:lineRule="auto"/>
        <w:jc w:val="center"/>
        <w:rPr>
          <w:rFonts w:ascii="宋体" w:hAnsi="宋体"/>
          <w:sz w:val="32"/>
          <w:szCs w:val="32"/>
        </w:rPr>
      </w:pPr>
    </w:p>
    <w:p>
      <w:pPr>
        <w:pageBreakBefore w:val="0"/>
        <w:kinsoku/>
        <w:wordWrap/>
        <w:overflowPunct/>
        <w:bidi w:val="0"/>
        <w:spacing w:line="360" w:lineRule="auto"/>
        <w:jc w:val="center"/>
        <w:rPr>
          <w:rFonts w:ascii="宋体" w:hAnsi="宋体"/>
          <w:sz w:val="32"/>
          <w:szCs w:val="32"/>
        </w:rPr>
      </w:pPr>
    </w:p>
    <w:p>
      <w:pPr>
        <w:pStyle w:val="18"/>
        <w:pageBreakBefore w:val="0"/>
        <w:kinsoku/>
        <w:wordWrap/>
        <w:overflowPunct/>
        <w:bidi w:val="0"/>
        <w:adjustRightInd w:val="0"/>
        <w:snapToGrid w:val="0"/>
        <w:spacing w:before="120" w:beforeLines="50" w:line="360" w:lineRule="auto"/>
        <w:ind w:left="3206" w:leftChars="456" w:hanging="2248" w:hangingChars="700"/>
        <w:rPr>
          <w:rFonts w:hint="eastAsia" w:hAnsi="宋体" w:eastAsia="宋体"/>
          <w:b/>
          <w:sz w:val="32"/>
          <w:szCs w:val="32"/>
          <w:lang w:val="en-US" w:eastAsia="zh-CN"/>
        </w:rPr>
      </w:pPr>
      <w:r>
        <w:rPr>
          <w:rFonts w:hint="eastAsia" w:hAnsi="宋体"/>
          <w:b/>
          <w:sz w:val="32"/>
          <w:szCs w:val="32"/>
        </w:rPr>
        <w:t>采购项目名称：</w:t>
      </w:r>
      <w:r>
        <w:rPr>
          <w:rFonts w:hint="eastAsia" w:hAnsi="宋体"/>
          <w:b/>
          <w:sz w:val="32"/>
          <w:szCs w:val="32"/>
          <w:lang w:eastAsia="zh-CN"/>
        </w:rPr>
        <w:t>《习近平总书记考察湖南三周年特别宣传策划》</w:t>
      </w:r>
    </w:p>
    <w:p>
      <w:pPr>
        <w:pStyle w:val="18"/>
        <w:pageBreakBefore w:val="0"/>
        <w:kinsoku/>
        <w:wordWrap/>
        <w:overflowPunct/>
        <w:bidi w:val="0"/>
        <w:adjustRightInd w:val="0"/>
        <w:snapToGrid w:val="0"/>
        <w:spacing w:before="120" w:beforeLines="50" w:line="360" w:lineRule="auto"/>
        <w:ind w:firstLine="963" w:firstLineChars="300"/>
        <w:rPr>
          <w:rFonts w:hint="eastAsia" w:hAnsi="宋体" w:eastAsia="宋体"/>
          <w:b/>
          <w:sz w:val="32"/>
          <w:szCs w:val="32"/>
          <w:lang w:val="en-US" w:eastAsia="zh-CN"/>
        </w:rPr>
      </w:pPr>
      <w:r>
        <w:rPr>
          <w:rFonts w:hint="eastAsia" w:hAnsi="宋体"/>
          <w:b/>
          <w:sz w:val="32"/>
          <w:szCs w:val="32"/>
        </w:rPr>
        <w:t>采   购   人：</w:t>
      </w:r>
      <w:r>
        <w:rPr>
          <w:rFonts w:hint="eastAsia" w:hAnsi="宋体"/>
          <w:b/>
          <w:sz w:val="32"/>
          <w:szCs w:val="32"/>
          <w:lang w:eastAsia="zh-CN"/>
        </w:rPr>
        <w:t>湖南省科技厅</w:t>
      </w:r>
    </w:p>
    <w:p>
      <w:pPr>
        <w:pStyle w:val="18"/>
        <w:pageBreakBefore w:val="0"/>
        <w:kinsoku/>
        <w:wordWrap/>
        <w:overflowPunct/>
        <w:bidi w:val="0"/>
        <w:adjustRightInd w:val="0"/>
        <w:snapToGrid w:val="0"/>
        <w:spacing w:before="120" w:beforeLines="50" w:line="360" w:lineRule="auto"/>
        <w:ind w:firstLine="963" w:firstLineChars="300"/>
        <w:rPr>
          <w:rFonts w:hint="eastAsia" w:hAnsi="宋体"/>
          <w:b/>
          <w:sz w:val="32"/>
          <w:szCs w:val="32"/>
        </w:rPr>
      </w:pPr>
      <w:r>
        <w:rPr>
          <w:rFonts w:hint="eastAsia" w:hAnsi="宋体"/>
          <w:b/>
          <w:sz w:val="32"/>
          <w:szCs w:val="32"/>
        </w:rPr>
        <w:t>政府采购编号：湘财采计[2023]001975号</w:t>
      </w:r>
    </w:p>
    <w:p>
      <w:pPr>
        <w:pStyle w:val="18"/>
        <w:pageBreakBefore w:val="0"/>
        <w:kinsoku/>
        <w:wordWrap/>
        <w:overflowPunct/>
        <w:bidi w:val="0"/>
        <w:adjustRightInd w:val="0"/>
        <w:snapToGrid w:val="0"/>
        <w:spacing w:before="120" w:beforeLines="50" w:line="360" w:lineRule="auto"/>
        <w:ind w:firstLine="963" w:firstLineChars="300"/>
        <w:rPr>
          <w:rFonts w:hint="default" w:hAnsi="宋体" w:eastAsia="宋体"/>
          <w:b/>
          <w:sz w:val="32"/>
          <w:szCs w:val="32"/>
          <w:lang w:val="en-US" w:eastAsia="zh-CN"/>
        </w:rPr>
      </w:pPr>
      <w:r>
        <w:rPr>
          <w:rFonts w:hint="eastAsia" w:hAnsi="宋体"/>
          <w:b/>
          <w:sz w:val="32"/>
          <w:szCs w:val="32"/>
        </w:rPr>
        <w:t>委托代理编号：JHD-CG-2023-067</w:t>
      </w:r>
    </w:p>
    <w:p>
      <w:pPr>
        <w:pStyle w:val="18"/>
        <w:pageBreakBefore w:val="0"/>
        <w:kinsoku/>
        <w:wordWrap/>
        <w:overflowPunct/>
        <w:bidi w:val="0"/>
        <w:adjustRightInd w:val="0"/>
        <w:snapToGrid w:val="0"/>
        <w:spacing w:before="120" w:beforeLines="50" w:line="360" w:lineRule="auto"/>
        <w:ind w:firstLine="963" w:firstLineChars="300"/>
        <w:rPr>
          <w:rFonts w:hAnsi="宋体"/>
          <w:b/>
          <w:sz w:val="32"/>
          <w:szCs w:val="32"/>
        </w:rPr>
      </w:pPr>
      <w:r>
        <w:rPr>
          <w:rFonts w:hint="eastAsia" w:hAnsi="宋体"/>
          <w:b/>
          <w:sz w:val="32"/>
          <w:szCs w:val="32"/>
        </w:rPr>
        <w:t>采购代理机构：湖南建衡达工程咨询有限公司</w:t>
      </w:r>
    </w:p>
    <w:p>
      <w:pPr>
        <w:pStyle w:val="18"/>
        <w:pageBreakBefore w:val="0"/>
        <w:kinsoku/>
        <w:wordWrap/>
        <w:overflowPunct/>
        <w:bidi w:val="0"/>
        <w:adjustRightInd w:val="0"/>
        <w:snapToGrid w:val="0"/>
        <w:spacing w:line="360" w:lineRule="auto"/>
        <w:ind w:firstLine="944" w:firstLineChars="295"/>
        <w:rPr>
          <w:rFonts w:hAnsi="宋体"/>
          <w:sz w:val="32"/>
          <w:szCs w:val="32"/>
          <w:u w:val="single"/>
        </w:rPr>
      </w:pPr>
    </w:p>
    <w:p>
      <w:pPr>
        <w:pStyle w:val="18"/>
        <w:pageBreakBefore w:val="0"/>
        <w:kinsoku/>
        <w:wordWrap/>
        <w:overflowPunct/>
        <w:bidi w:val="0"/>
        <w:adjustRightInd w:val="0"/>
        <w:snapToGrid w:val="0"/>
        <w:spacing w:line="360" w:lineRule="auto"/>
        <w:rPr>
          <w:rFonts w:hAnsi="宋体"/>
          <w:b/>
          <w:sz w:val="32"/>
        </w:rPr>
      </w:pPr>
    </w:p>
    <w:p>
      <w:pPr>
        <w:pStyle w:val="18"/>
        <w:pageBreakBefore w:val="0"/>
        <w:kinsoku/>
        <w:wordWrap/>
        <w:overflowPunct/>
        <w:bidi w:val="0"/>
        <w:adjustRightInd w:val="0"/>
        <w:snapToGrid w:val="0"/>
        <w:spacing w:line="360" w:lineRule="auto"/>
        <w:rPr>
          <w:rFonts w:hAnsi="宋体"/>
          <w:b/>
          <w:sz w:val="32"/>
        </w:rPr>
      </w:pPr>
    </w:p>
    <w:p>
      <w:pPr>
        <w:pStyle w:val="18"/>
        <w:pageBreakBefore w:val="0"/>
        <w:kinsoku/>
        <w:wordWrap/>
        <w:overflowPunct/>
        <w:bidi w:val="0"/>
        <w:adjustRightInd w:val="0"/>
        <w:snapToGrid w:val="0"/>
        <w:spacing w:line="360" w:lineRule="auto"/>
        <w:rPr>
          <w:rFonts w:hAnsi="宋体"/>
          <w:b/>
          <w:sz w:val="32"/>
        </w:rPr>
      </w:pPr>
    </w:p>
    <w:p>
      <w:pPr>
        <w:pStyle w:val="18"/>
        <w:pageBreakBefore w:val="0"/>
        <w:kinsoku/>
        <w:wordWrap/>
        <w:overflowPunct/>
        <w:bidi w:val="0"/>
        <w:spacing w:line="360" w:lineRule="auto"/>
        <w:jc w:val="center"/>
        <w:rPr>
          <w:rFonts w:hAnsi="宋体"/>
          <w:b/>
          <w:sz w:val="36"/>
          <w:szCs w:val="36"/>
        </w:rPr>
      </w:pPr>
      <w:r>
        <w:rPr>
          <w:rFonts w:hint="eastAsia" w:hAnsi="宋体"/>
          <w:b/>
          <w:sz w:val="36"/>
          <w:szCs w:val="36"/>
        </w:rPr>
        <w:t>2023年0</w:t>
      </w:r>
      <w:r>
        <w:rPr>
          <w:rFonts w:hint="eastAsia" w:hAnsi="宋体"/>
          <w:b/>
          <w:sz w:val="36"/>
          <w:szCs w:val="36"/>
          <w:lang w:val="en-US" w:eastAsia="zh-CN"/>
        </w:rPr>
        <w:t>7</w:t>
      </w:r>
      <w:r>
        <w:rPr>
          <w:rFonts w:hint="eastAsia" w:hAnsi="宋体"/>
          <w:b/>
          <w:sz w:val="36"/>
          <w:szCs w:val="36"/>
        </w:rPr>
        <w:t>月</w:t>
      </w:r>
    </w:p>
    <w:p>
      <w:pPr>
        <w:pageBreakBefore w:val="0"/>
        <w:kinsoku/>
        <w:wordWrap/>
        <w:overflowPunct/>
        <w:bidi w:val="0"/>
        <w:spacing w:line="440" w:lineRule="exact"/>
        <w:sectPr>
          <w:headerReference r:id="rId3" w:type="default"/>
          <w:pgSz w:w="11906" w:h="16838"/>
          <w:pgMar w:top="1134" w:right="1134" w:bottom="1134" w:left="1134" w:header="510" w:footer="624" w:gutter="0"/>
          <w:cols w:space="720" w:num="1"/>
          <w:docGrid w:linePitch="312" w:charSpace="0"/>
        </w:sectPr>
      </w:pPr>
    </w:p>
    <w:p>
      <w:pPr>
        <w:pageBreakBefore w:val="0"/>
        <w:kinsoku/>
        <w:wordWrap/>
        <w:overflowPunct/>
        <w:bidi w:val="0"/>
        <w:spacing w:line="440" w:lineRule="exact"/>
        <w:jc w:val="center"/>
      </w:pPr>
      <w:r>
        <w:rPr>
          <w:rFonts w:hint="eastAsia" w:hAnsi="宋体"/>
          <w:b/>
          <w:spacing w:val="160"/>
          <w:sz w:val="36"/>
          <w:szCs w:val="36"/>
        </w:rPr>
        <w:t>目录</w:t>
      </w:r>
    </w:p>
    <w:p>
      <w:pPr>
        <w:pStyle w:val="25"/>
        <w:pageBreakBefore w:val="0"/>
        <w:tabs>
          <w:tab w:val="right" w:leader="dot" w:pos="8958"/>
        </w:tabs>
        <w:kinsoku/>
        <w:wordWrap/>
        <w:overflowPunct/>
        <w:bidi w:val="0"/>
        <w:spacing w:beforeLines="0" w:line="440" w:lineRule="exact"/>
        <w:rPr>
          <w:rFonts w:ascii="黑体" w:hAnsi="黑体" w:cs="黑体"/>
        </w:rPr>
      </w:pPr>
      <w:r>
        <w:rPr>
          <w:rFonts w:hint="eastAsia" w:ascii="黑体" w:hAnsi="黑体" w:cs="黑体"/>
        </w:rPr>
        <w:fldChar w:fldCharType="begin"/>
      </w:r>
      <w:r>
        <w:rPr>
          <w:rFonts w:hint="eastAsia" w:ascii="黑体" w:hAnsi="黑体" w:cs="黑体"/>
        </w:rPr>
        <w:instrText xml:space="preserve"> TOC \o "1-4" \h \z \u </w:instrText>
      </w:r>
      <w:r>
        <w:rPr>
          <w:rFonts w:hint="eastAsia" w:ascii="黑体" w:hAnsi="黑体" w:cs="黑体"/>
        </w:rPr>
        <w:fldChar w:fldCharType="separate"/>
      </w:r>
      <w:r>
        <w:fldChar w:fldCharType="begin"/>
      </w:r>
      <w:r>
        <w:instrText xml:space="preserve"> HYPERLINK \l "_Toc14747" </w:instrText>
      </w:r>
      <w:r>
        <w:fldChar w:fldCharType="separate"/>
      </w:r>
      <w:r>
        <w:rPr>
          <w:rFonts w:hint="eastAsia" w:ascii="黑体" w:hAnsi="黑体" w:cs="黑体"/>
          <w:szCs w:val="36"/>
        </w:rPr>
        <w:t xml:space="preserve">第一章 </w:t>
      </w:r>
      <w:r>
        <w:rPr>
          <w:rFonts w:hint="eastAsia" w:ascii="黑体" w:hAnsi="黑体" w:cs="黑体"/>
          <w:bCs/>
          <w:szCs w:val="36"/>
        </w:rPr>
        <w:t>磋商邀请</w:t>
      </w:r>
      <w:r>
        <w:rPr>
          <w:rFonts w:hint="eastAsia" w:ascii="黑体" w:hAnsi="黑体" w:cs="黑体"/>
        </w:rPr>
        <w:tab/>
      </w:r>
      <w:r>
        <w:rPr>
          <w:rFonts w:hint="eastAsia" w:ascii="黑体" w:hAnsi="黑体" w:cs="黑体"/>
        </w:rPr>
        <w:t>1</w:t>
      </w:r>
      <w:r>
        <w:rPr>
          <w:rFonts w:hint="eastAsia" w:ascii="黑体" w:hAnsi="黑体" w:cs="黑体"/>
        </w:rPr>
        <w:fldChar w:fldCharType="end"/>
      </w:r>
    </w:p>
    <w:p>
      <w:pPr>
        <w:pStyle w:val="25"/>
        <w:pageBreakBefore w:val="0"/>
        <w:tabs>
          <w:tab w:val="right" w:leader="dot" w:pos="8958"/>
        </w:tabs>
        <w:kinsoku/>
        <w:wordWrap/>
        <w:overflowPunct/>
        <w:bidi w:val="0"/>
        <w:spacing w:beforeLines="0" w:line="440" w:lineRule="exact"/>
        <w:rPr>
          <w:rFonts w:ascii="黑体" w:hAnsi="黑体" w:cs="黑体"/>
        </w:rPr>
      </w:pPr>
      <w:r>
        <w:fldChar w:fldCharType="begin"/>
      </w:r>
      <w:r>
        <w:instrText xml:space="preserve"> HYPERLINK \l "_Toc18652" </w:instrText>
      </w:r>
      <w:r>
        <w:fldChar w:fldCharType="separate"/>
      </w:r>
      <w:r>
        <w:rPr>
          <w:rFonts w:hint="eastAsia" w:ascii="黑体" w:hAnsi="黑体" w:cs="黑体"/>
          <w:szCs w:val="36"/>
        </w:rPr>
        <w:t>第二章 磋商须知</w:t>
      </w:r>
      <w:r>
        <w:rPr>
          <w:rFonts w:hint="eastAsia" w:ascii="黑体" w:hAnsi="黑体" w:cs="黑体"/>
        </w:rPr>
        <w:tab/>
      </w:r>
      <w:r>
        <w:rPr>
          <w:rFonts w:hint="eastAsia" w:ascii="黑体" w:hAnsi="黑体" w:cs="黑体"/>
        </w:rPr>
        <w:t>3</w:t>
      </w:r>
      <w:r>
        <w:rPr>
          <w:rFonts w:hint="eastAsia" w:ascii="黑体" w:hAnsi="黑体" w:cs="黑体"/>
        </w:rPr>
        <w:fldChar w:fldCharType="end"/>
      </w:r>
    </w:p>
    <w:p>
      <w:pPr>
        <w:pStyle w:val="25"/>
        <w:pageBreakBefore w:val="0"/>
        <w:tabs>
          <w:tab w:val="right" w:leader="dot" w:pos="8958"/>
        </w:tabs>
        <w:kinsoku/>
        <w:wordWrap/>
        <w:overflowPunct/>
        <w:bidi w:val="0"/>
        <w:spacing w:beforeLines="0" w:line="440" w:lineRule="exact"/>
        <w:outlineLvl w:val="0"/>
        <w:rPr>
          <w:rFonts w:hint="eastAsia" w:ascii="黑体" w:hAnsi="黑体" w:eastAsia="黑体" w:cs="黑体"/>
          <w:lang w:eastAsia="zh-CN"/>
        </w:rPr>
      </w:pPr>
      <w:r>
        <w:fldChar w:fldCharType="begin"/>
      </w:r>
      <w:r>
        <w:instrText xml:space="preserve"> HYPERLINK \l "_Toc17211" </w:instrText>
      </w:r>
      <w:r>
        <w:fldChar w:fldCharType="separate"/>
      </w:r>
      <w:r>
        <w:rPr>
          <w:rFonts w:hint="eastAsia" w:ascii="黑体" w:hAnsi="黑体" w:cs="黑体"/>
          <w:szCs w:val="36"/>
        </w:rPr>
        <w:t>第三章 政府采购合同格式</w:t>
      </w:r>
      <w:r>
        <w:rPr>
          <w:rFonts w:hint="eastAsia" w:ascii="黑体" w:hAnsi="黑体" w:cs="黑体"/>
        </w:rPr>
        <w:tab/>
      </w:r>
      <w:r>
        <w:rPr>
          <w:rFonts w:hint="eastAsia" w:ascii="黑体" w:hAnsi="黑体" w:cs="黑体"/>
        </w:rPr>
        <w:t>2</w:t>
      </w:r>
      <w:r>
        <w:rPr>
          <w:rFonts w:hint="eastAsia" w:ascii="黑体" w:hAnsi="黑体" w:cs="黑体"/>
        </w:rPr>
        <w:fldChar w:fldCharType="end"/>
      </w:r>
      <w:r>
        <w:rPr>
          <w:rFonts w:hint="eastAsia" w:ascii="黑体" w:hAnsi="黑体" w:cs="黑体"/>
          <w:lang w:val="en-US" w:eastAsia="zh-CN"/>
        </w:rPr>
        <w:t>7</w:t>
      </w:r>
    </w:p>
    <w:p>
      <w:pPr>
        <w:pStyle w:val="25"/>
        <w:pageBreakBefore w:val="0"/>
        <w:tabs>
          <w:tab w:val="right" w:leader="dot" w:pos="8958"/>
        </w:tabs>
        <w:kinsoku/>
        <w:wordWrap/>
        <w:overflowPunct/>
        <w:bidi w:val="0"/>
        <w:spacing w:beforeLines="0" w:line="440" w:lineRule="exact"/>
        <w:rPr>
          <w:rFonts w:hint="eastAsia" w:ascii="黑体" w:hAnsi="黑体" w:eastAsia="黑体" w:cs="黑体"/>
          <w:lang w:eastAsia="zh-CN"/>
        </w:rPr>
      </w:pPr>
      <w:r>
        <w:fldChar w:fldCharType="begin"/>
      </w:r>
      <w:r>
        <w:instrText xml:space="preserve"> HYPERLINK \l "_Toc24142" </w:instrText>
      </w:r>
      <w:r>
        <w:fldChar w:fldCharType="separate"/>
      </w:r>
      <w:r>
        <w:rPr>
          <w:rFonts w:hint="eastAsia" w:ascii="黑体" w:hAnsi="黑体" w:cs="黑体"/>
          <w:szCs w:val="36"/>
        </w:rPr>
        <w:t>第四章 采购需求</w:t>
      </w:r>
      <w:r>
        <w:rPr>
          <w:rFonts w:hint="eastAsia" w:ascii="黑体" w:hAnsi="黑体" w:cs="黑体"/>
        </w:rPr>
        <w:tab/>
      </w:r>
      <w:r>
        <w:rPr>
          <w:rFonts w:hint="eastAsia" w:ascii="黑体" w:hAnsi="黑体" w:cs="黑体"/>
        </w:rPr>
        <w:t>3</w:t>
      </w:r>
      <w:r>
        <w:rPr>
          <w:rFonts w:hint="eastAsia" w:ascii="黑体" w:hAnsi="黑体" w:cs="黑体"/>
        </w:rPr>
        <w:fldChar w:fldCharType="end"/>
      </w:r>
      <w:r>
        <w:rPr>
          <w:rFonts w:hint="eastAsia" w:ascii="黑体" w:hAnsi="黑体" w:cs="黑体"/>
          <w:lang w:val="en-US" w:eastAsia="zh-CN"/>
        </w:rPr>
        <w:t>5</w:t>
      </w:r>
    </w:p>
    <w:p>
      <w:pPr>
        <w:pStyle w:val="25"/>
        <w:pageBreakBefore w:val="0"/>
        <w:tabs>
          <w:tab w:val="right" w:leader="dot" w:pos="8958"/>
        </w:tabs>
        <w:kinsoku/>
        <w:wordWrap/>
        <w:overflowPunct/>
        <w:bidi w:val="0"/>
        <w:spacing w:beforeLines="0" w:line="440" w:lineRule="exact"/>
        <w:rPr>
          <w:rFonts w:hint="eastAsia" w:ascii="黑体" w:hAnsi="黑体" w:eastAsia="黑体" w:cs="黑体"/>
          <w:lang w:val="en-US" w:eastAsia="zh-CN"/>
        </w:rPr>
      </w:pPr>
      <w:r>
        <w:fldChar w:fldCharType="begin"/>
      </w:r>
      <w:r>
        <w:instrText xml:space="preserve"> HYPERLINK \l "_Toc5019" </w:instrText>
      </w:r>
      <w:r>
        <w:fldChar w:fldCharType="separate"/>
      </w:r>
      <w:r>
        <w:rPr>
          <w:rFonts w:hint="eastAsia" w:ascii="黑体" w:hAnsi="黑体" w:cs="黑体"/>
          <w:szCs w:val="36"/>
        </w:rPr>
        <w:t>第五章 响应文件组成</w:t>
      </w:r>
      <w:r>
        <w:rPr>
          <w:rFonts w:hint="eastAsia" w:ascii="黑体" w:hAnsi="黑体" w:cs="黑体"/>
        </w:rPr>
        <w:tab/>
      </w:r>
      <w:r>
        <w:rPr>
          <w:rFonts w:hint="eastAsia" w:ascii="黑体" w:hAnsi="黑体" w:cs="黑体"/>
        </w:rPr>
        <w:t>3</w:t>
      </w:r>
      <w:r>
        <w:rPr>
          <w:rFonts w:hint="eastAsia" w:ascii="黑体" w:hAnsi="黑体" w:cs="黑体"/>
        </w:rPr>
        <w:fldChar w:fldCharType="end"/>
      </w:r>
      <w:r>
        <w:rPr>
          <w:rFonts w:hint="eastAsia" w:ascii="黑体" w:hAnsi="黑体" w:cs="黑体"/>
          <w:lang w:val="en-US" w:eastAsia="zh-CN"/>
        </w:rPr>
        <w:t>8</w:t>
      </w:r>
    </w:p>
    <w:p>
      <w:pPr>
        <w:pageBreakBefore w:val="0"/>
        <w:kinsoku/>
        <w:wordWrap/>
        <w:overflowPunct/>
        <w:bidi w:val="0"/>
        <w:spacing w:line="440" w:lineRule="exact"/>
      </w:pPr>
      <w:r>
        <w:rPr>
          <w:rFonts w:hint="eastAsia" w:ascii="黑体" w:hAnsi="黑体" w:eastAsia="黑体" w:cs="黑体"/>
        </w:rPr>
        <w:fldChar w:fldCharType="end"/>
      </w:r>
    </w:p>
    <w:p>
      <w:pPr>
        <w:pageBreakBefore w:val="0"/>
        <w:kinsoku/>
        <w:wordWrap/>
        <w:overflowPunct/>
        <w:bidi w:val="0"/>
        <w:spacing w:line="440" w:lineRule="exact"/>
        <w:sectPr>
          <w:headerReference r:id="rId4" w:type="default"/>
          <w:footerReference r:id="rId5" w:type="default"/>
          <w:pgSz w:w="11906" w:h="16838"/>
          <w:pgMar w:top="1134" w:right="1134" w:bottom="1134" w:left="1134" w:header="510" w:footer="624" w:gutter="0"/>
          <w:pgNumType w:start="1"/>
          <w:cols w:space="720" w:num="1"/>
          <w:docGrid w:linePitch="312" w:charSpace="0"/>
        </w:sectPr>
      </w:pPr>
    </w:p>
    <w:p>
      <w:pPr>
        <w:pageBreakBefore w:val="0"/>
        <w:numPr>
          <w:ilvl w:val="0"/>
          <w:numId w:val="1"/>
        </w:numPr>
        <w:kinsoku/>
        <w:wordWrap/>
        <w:overflowPunct/>
        <w:bidi w:val="0"/>
        <w:spacing w:before="120" w:beforeLines="50" w:after="240" w:afterLines="100" w:line="440" w:lineRule="exact"/>
        <w:jc w:val="center"/>
        <w:outlineLvl w:val="0"/>
        <w:rPr>
          <w:rFonts w:ascii="宋体" w:hAnsi="宋体"/>
          <w:b/>
          <w:sz w:val="36"/>
          <w:szCs w:val="36"/>
        </w:rPr>
      </w:pPr>
      <w:bookmarkStart w:id="0" w:name="_Toc14747"/>
      <w:r>
        <w:rPr>
          <w:rFonts w:hint="eastAsia" w:ascii="宋体" w:hAnsi="宋体"/>
          <w:b/>
          <w:bCs/>
          <w:sz w:val="36"/>
          <w:szCs w:val="36"/>
        </w:rPr>
        <w:t>磋商邀请</w:t>
      </w:r>
      <w:bookmarkEnd w:id="0"/>
    </w:p>
    <w:p>
      <w:pPr>
        <w:pStyle w:val="81"/>
        <w:pageBreakBefore w:val="0"/>
        <w:widowControl/>
        <w:kinsoku/>
        <w:wordWrap/>
        <w:overflowPunct/>
        <w:bidi w:val="0"/>
        <w:spacing w:line="440" w:lineRule="exact"/>
        <w:rPr>
          <w:rFonts w:asciiTheme="minorEastAsia" w:hAnsiTheme="minorEastAsia" w:eastAsiaTheme="minorEastAsia" w:cstheme="minorEastAsia"/>
          <w:spacing w:val="0"/>
          <w:sz w:val="21"/>
          <w:szCs w:val="21"/>
        </w:rPr>
      </w:pPr>
      <w:r>
        <w:rPr>
          <w:rFonts w:hint="eastAsia" w:asciiTheme="minorEastAsia" w:hAnsiTheme="minorEastAsia" w:eastAsiaTheme="minorEastAsia" w:cstheme="minorEastAsia"/>
          <w:spacing w:val="0"/>
          <w:sz w:val="21"/>
          <w:szCs w:val="21"/>
          <w:u w:val="single"/>
        </w:rPr>
        <w:t>湖南建衡达工程咨询有限公司</w:t>
      </w:r>
      <w:r>
        <w:rPr>
          <w:rFonts w:hint="eastAsia" w:asciiTheme="minorEastAsia" w:hAnsiTheme="minorEastAsia" w:eastAsiaTheme="minorEastAsia" w:cstheme="minorEastAsia"/>
          <w:spacing w:val="0"/>
          <w:sz w:val="21"/>
          <w:szCs w:val="21"/>
        </w:rPr>
        <w:t>受</w:t>
      </w:r>
      <w:r>
        <w:rPr>
          <w:rFonts w:hint="eastAsia" w:asciiTheme="minorEastAsia" w:hAnsiTheme="minorEastAsia" w:eastAsiaTheme="minorEastAsia" w:cstheme="minorEastAsia"/>
          <w:spacing w:val="0"/>
          <w:sz w:val="21"/>
          <w:szCs w:val="21"/>
          <w:u w:val="single"/>
          <w:lang w:eastAsia="zh-CN"/>
        </w:rPr>
        <w:t>湖南省科技厅</w:t>
      </w:r>
      <w:r>
        <w:rPr>
          <w:rFonts w:hint="eastAsia" w:asciiTheme="minorEastAsia" w:hAnsiTheme="minorEastAsia" w:eastAsiaTheme="minorEastAsia" w:cstheme="minorEastAsia"/>
          <w:spacing w:val="0"/>
          <w:sz w:val="21"/>
          <w:szCs w:val="21"/>
        </w:rPr>
        <w:t>的委托，对</w:t>
      </w:r>
      <w:r>
        <w:rPr>
          <w:rFonts w:hint="eastAsia" w:asciiTheme="minorEastAsia" w:hAnsiTheme="minorEastAsia" w:eastAsiaTheme="minorEastAsia" w:cstheme="minorEastAsia"/>
          <w:spacing w:val="0"/>
          <w:sz w:val="21"/>
          <w:szCs w:val="21"/>
          <w:u w:val="single"/>
          <w:lang w:eastAsia="zh-CN"/>
        </w:rPr>
        <w:t>《习近平总书记考察湖南三周年特别宣传策划》</w:t>
      </w:r>
      <w:r>
        <w:rPr>
          <w:rFonts w:hint="eastAsia" w:asciiTheme="minorEastAsia" w:hAnsiTheme="minorEastAsia" w:eastAsiaTheme="minorEastAsia" w:cstheme="minorEastAsia"/>
          <w:spacing w:val="0"/>
          <w:sz w:val="21"/>
          <w:szCs w:val="21"/>
        </w:rPr>
        <w:t>进行竞争性磋商采购，现采用发布公告的方式，邀请符合资格条件的供应商参加磋商。</w:t>
      </w:r>
    </w:p>
    <w:p>
      <w:pPr>
        <w:pageBreakBefore w:val="0"/>
        <w:widowControl/>
        <w:kinsoku/>
        <w:wordWrap/>
        <w:overflowPunct/>
        <w:bidi w:val="0"/>
        <w:spacing w:line="440" w:lineRule="exact"/>
        <w:jc w:val="left"/>
        <w:rPr>
          <w:rFonts w:asciiTheme="minorEastAsia" w:hAnsiTheme="minorEastAsia" w:eastAsiaTheme="minorEastAsia" w:cstheme="minorEastAsia"/>
          <w:kern w:val="0"/>
          <w:szCs w:val="21"/>
          <w:u w:val="single"/>
          <w:shd w:val="clear" w:color="auto" w:fill="FFFFFF"/>
        </w:rPr>
      </w:pPr>
      <w:r>
        <w:rPr>
          <w:rFonts w:hint="eastAsia" w:asciiTheme="minorEastAsia" w:hAnsiTheme="minorEastAsia" w:eastAsiaTheme="minorEastAsia" w:cstheme="minorEastAsia"/>
          <w:b/>
          <w:szCs w:val="21"/>
        </w:rPr>
        <w:t>一、采购项目基本概况</w:t>
      </w:r>
    </w:p>
    <w:p>
      <w:pPr>
        <w:pageBreakBefore w:val="0"/>
        <w:kinsoku/>
        <w:wordWrap/>
        <w:overflowPunct/>
        <w:bidi w:val="0"/>
        <w:adjustRightInd w:val="0"/>
        <w:snapToGrid w:val="0"/>
        <w:spacing w:line="440" w:lineRule="exact"/>
        <w:ind w:firstLine="420" w:firstLineChars="200"/>
        <w:rPr>
          <w:rFonts w:hint="eastAsia" w:eastAsia="宋体" w:asciiTheme="minorEastAsia" w:hAnsiTheme="minorEastAsia"/>
          <w:szCs w:val="21"/>
          <w:lang w:eastAsia="zh-CN"/>
        </w:rPr>
      </w:pPr>
      <w:r>
        <w:rPr>
          <w:rFonts w:hint="eastAsia" w:asciiTheme="minorEastAsia" w:hAnsiTheme="minorEastAsia"/>
          <w:szCs w:val="21"/>
        </w:rPr>
        <w:t>项目名称：</w:t>
      </w:r>
      <w:r>
        <w:rPr>
          <w:rFonts w:hint="eastAsia" w:asciiTheme="minorEastAsia" w:hAnsiTheme="minorEastAsia"/>
          <w:szCs w:val="21"/>
          <w:lang w:eastAsia="zh-CN"/>
        </w:rPr>
        <w:t>《习近平总书记考察湖南三周年特别宣传策划》</w:t>
      </w:r>
    </w:p>
    <w:p>
      <w:pPr>
        <w:pageBreakBefore w:val="0"/>
        <w:kinsoku/>
        <w:wordWrap/>
        <w:overflowPunct/>
        <w:bidi w:val="0"/>
        <w:adjustRightInd w:val="0"/>
        <w:snapToGrid w:val="0"/>
        <w:spacing w:line="440" w:lineRule="exact"/>
        <w:ind w:firstLine="420" w:firstLineChars="200"/>
        <w:rPr>
          <w:rFonts w:hint="eastAsia" w:asciiTheme="minorEastAsia" w:hAnsiTheme="minorEastAsia"/>
          <w:szCs w:val="21"/>
        </w:rPr>
      </w:pPr>
      <w:r>
        <w:rPr>
          <w:rFonts w:hint="eastAsia" w:asciiTheme="minorEastAsia" w:hAnsiTheme="minorEastAsia"/>
          <w:szCs w:val="21"/>
        </w:rPr>
        <w:t>政府采购计划编号：湘财采计[2023]001975号</w:t>
      </w:r>
    </w:p>
    <w:p>
      <w:pPr>
        <w:pageBreakBefore w:val="0"/>
        <w:kinsoku/>
        <w:wordWrap/>
        <w:overflowPunct/>
        <w:bidi w:val="0"/>
        <w:adjustRightInd w:val="0"/>
        <w:snapToGrid w:val="0"/>
        <w:spacing w:line="440" w:lineRule="exact"/>
        <w:ind w:firstLine="420" w:firstLineChars="200"/>
        <w:rPr>
          <w:rFonts w:hint="eastAsia" w:asciiTheme="minorEastAsia" w:hAnsiTheme="minorEastAsia"/>
          <w:szCs w:val="21"/>
        </w:rPr>
      </w:pPr>
      <w:r>
        <w:rPr>
          <w:rFonts w:hint="eastAsia" w:asciiTheme="minorEastAsia" w:hAnsiTheme="minorEastAsia"/>
          <w:szCs w:val="21"/>
        </w:rPr>
        <w:t>委托代理编号：JHD-CG-2023-067</w:t>
      </w:r>
    </w:p>
    <w:p>
      <w:pPr>
        <w:pageBreakBefore w:val="0"/>
        <w:kinsoku/>
        <w:wordWrap/>
        <w:overflowPunct/>
        <w:bidi w:val="0"/>
        <w:adjustRightInd w:val="0"/>
        <w:snapToGrid w:val="0"/>
        <w:spacing w:line="440" w:lineRule="exact"/>
        <w:ind w:firstLine="420" w:firstLineChars="200"/>
        <w:rPr>
          <w:rFonts w:hint="eastAsia" w:asciiTheme="minorEastAsia" w:hAnsiTheme="minorEastAsia"/>
          <w:szCs w:val="21"/>
        </w:rPr>
      </w:pPr>
      <w:r>
        <w:rPr>
          <w:rFonts w:hint="eastAsia" w:asciiTheme="minorEastAsia" w:hAnsiTheme="minorEastAsia"/>
          <w:szCs w:val="21"/>
        </w:rPr>
        <w:t>采购方式：竞争性磋商</w:t>
      </w:r>
    </w:p>
    <w:p>
      <w:pPr>
        <w:pageBreakBefore w:val="0"/>
        <w:kinsoku/>
        <w:wordWrap/>
        <w:overflowPunct/>
        <w:bidi w:val="0"/>
        <w:adjustRightInd w:val="0"/>
        <w:snapToGrid w:val="0"/>
        <w:spacing w:line="440" w:lineRule="exact"/>
        <w:ind w:firstLine="420" w:firstLineChars="200"/>
        <w:rPr>
          <w:rFonts w:hint="default" w:eastAsia="宋体" w:asciiTheme="minorEastAsia" w:hAnsiTheme="minorEastAsia"/>
          <w:szCs w:val="21"/>
          <w:lang w:val="en-US" w:eastAsia="zh-CN"/>
        </w:rPr>
      </w:pPr>
      <w:r>
        <w:rPr>
          <w:rFonts w:hint="eastAsia" w:asciiTheme="minorEastAsia" w:hAnsiTheme="minorEastAsia"/>
          <w:szCs w:val="21"/>
        </w:rPr>
        <w:t>采购预算：</w:t>
      </w:r>
      <w:r>
        <w:rPr>
          <w:rFonts w:hint="eastAsia" w:asciiTheme="minorEastAsia" w:hAnsiTheme="minorEastAsia"/>
          <w:szCs w:val="21"/>
          <w:lang w:val="en-US" w:eastAsia="zh-CN"/>
        </w:rPr>
        <w:t>900000.00</w:t>
      </w:r>
      <w:r>
        <w:rPr>
          <w:rFonts w:hint="eastAsia" w:asciiTheme="minorEastAsia" w:hAnsiTheme="minorEastAsia"/>
          <w:szCs w:val="21"/>
        </w:rPr>
        <w:t>元</w:t>
      </w:r>
      <w:r>
        <w:rPr>
          <w:rFonts w:hint="eastAsia" w:asciiTheme="minorEastAsia" w:hAnsiTheme="minorEastAsia"/>
          <w:szCs w:val="21"/>
          <w:lang w:eastAsia="zh-CN"/>
        </w:rPr>
        <w:t>，</w:t>
      </w:r>
      <w:r>
        <w:rPr>
          <w:rFonts w:hint="eastAsia" w:asciiTheme="minorEastAsia" w:hAnsiTheme="minorEastAsia"/>
          <w:szCs w:val="21"/>
          <w:lang w:val="en-US" w:eastAsia="zh-CN"/>
        </w:rPr>
        <w:t>最高限价：</w:t>
      </w:r>
      <w:r>
        <w:rPr>
          <w:rFonts w:hint="eastAsia" w:asciiTheme="minorEastAsia" w:hAnsiTheme="minorEastAsia" w:eastAsiaTheme="minorEastAsia" w:cstheme="minorEastAsia"/>
          <w:szCs w:val="21"/>
          <w:lang w:val="en-US" w:eastAsia="zh-CN"/>
        </w:rPr>
        <w:t>890550.00元</w:t>
      </w:r>
    </w:p>
    <w:p>
      <w:pPr>
        <w:pageBreakBefore w:val="0"/>
        <w:kinsoku/>
        <w:wordWrap/>
        <w:overflowPunct/>
        <w:bidi w:val="0"/>
        <w:adjustRightInd w:val="0"/>
        <w:snapToGrid w:val="0"/>
        <w:spacing w:line="440" w:lineRule="exact"/>
        <w:ind w:firstLine="420" w:firstLineChars="200"/>
        <w:rPr>
          <w:rFonts w:asciiTheme="minorEastAsia" w:hAnsiTheme="minorEastAsia"/>
          <w:szCs w:val="21"/>
        </w:rPr>
      </w:pPr>
      <w:r>
        <w:rPr>
          <w:rFonts w:hint="eastAsia" w:asciiTheme="minorEastAsia" w:hAnsiTheme="minorEastAsia"/>
          <w:szCs w:val="21"/>
        </w:rPr>
        <w:t>采购项目内容与数量：</w:t>
      </w:r>
    </w:p>
    <w:tbl>
      <w:tblPr>
        <w:tblStyle w:val="31"/>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802"/>
        <w:gridCol w:w="2555"/>
        <w:gridCol w:w="500"/>
        <w:gridCol w:w="587"/>
        <w:gridCol w:w="1388"/>
        <w:gridCol w:w="1263"/>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542" w:type="dxa"/>
          </w:tcPr>
          <w:p>
            <w:pPr>
              <w:pageBreakBefore w:val="0"/>
              <w:kinsoku/>
              <w:wordWrap/>
              <w:overflowPunct/>
              <w:bidi w:val="0"/>
              <w:adjustRightInd w:val="0"/>
              <w:snapToGrid w:val="0"/>
              <w:spacing w:before="120" w:beforeLines="50"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包号</w:t>
            </w:r>
          </w:p>
        </w:tc>
        <w:tc>
          <w:tcPr>
            <w:tcW w:w="1802" w:type="dxa"/>
          </w:tcPr>
          <w:p>
            <w:pPr>
              <w:pageBreakBefore w:val="0"/>
              <w:kinsoku/>
              <w:wordWrap/>
              <w:overflowPunct/>
              <w:bidi w:val="0"/>
              <w:adjustRightInd w:val="0"/>
              <w:snapToGrid w:val="0"/>
              <w:spacing w:before="120" w:beforeLines="50"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0"/>
                <w:kern w:val="2"/>
                <w:sz w:val="21"/>
                <w:szCs w:val="21"/>
                <w:lang w:val="en-US" w:eastAsia="zh-CN" w:bidi="ar-SA"/>
              </w:rPr>
              <w:t>品目分类</w:t>
            </w:r>
          </w:p>
        </w:tc>
        <w:tc>
          <w:tcPr>
            <w:tcW w:w="2555" w:type="dxa"/>
          </w:tcPr>
          <w:p>
            <w:pPr>
              <w:pageBreakBefore w:val="0"/>
              <w:kinsoku/>
              <w:wordWrap/>
              <w:overflowPunct/>
              <w:bidi w:val="0"/>
              <w:adjustRightInd w:val="0"/>
              <w:snapToGrid w:val="0"/>
              <w:spacing w:before="120" w:beforeLines="50"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标的名称</w:t>
            </w:r>
          </w:p>
        </w:tc>
        <w:tc>
          <w:tcPr>
            <w:tcW w:w="500" w:type="dxa"/>
          </w:tcPr>
          <w:p>
            <w:pPr>
              <w:pageBreakBefore w:val="0"/>
              <w:kinsoku/>
              <w:wordWrap/>
              <w:overflowPunct/>
              <w:bidi w:val="0"/>
              <w:adjustRightInd w:val="0"/>
              <w:snapToGrid w:val="0"/>
              <w:spacing w:before="120" w:beforeLines="50"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587" w:type="dxa"/>
          </w:tcPr>
          <w:p>
            <w:pPr>
              <w:pageBreakBefore w:val="0"/>
              <w:kinsoku/>
              <w:wordWrap/>
              <w:overflowPunct/>
              <w:bidi w:val="0"/>
              <w:adjustRightInd w:val="0"/>
              <w:snapToGrid w:val="0"/>
              <w:spacing w:before="120" w:beforeLines="50"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1388" w:type="dxa"/>
          </w:tcPr>
          <w:p>
            <w:pPr>
              <w:pageBreakBefore w:val="0"/>
              <w:kinsoku/>
              <w:wordWrap/>
              <w:overflowPunct/>
              <w:bidi w:val="0"/>
              <w:adjustRightInd w:val="0"/>
              <w:snapToGrid w:val="0"/>
              <w:spacing w:before="120" w:beforeLines="50"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预算金额（元）</w:t>
            </w:r>
          </w:p>
        </w:tc>
        <w:tc>
          <w:tcPr>
            <w:tcW w:w="1263" w:type="dxa"/>
          </w:tcPr>
          <w:p>
            <w:pPr>
              <w:pageBreakBefore w:val="0"/>
              <w:kinsoku/>
              <w:wordWrap/>
              <w:overflowPunct/>
              <w:bidi w:val="0"/>
              <w:adjustRightInd w:val="0"/>
              <w:snapToGrid w:val="0"/>
              <w:spacing w:before="120" w:beforeLines="50"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最高限价（元）</w:t>
            </w:r>
          </w:p>
        </w:tc>
        <w:tc>
          <w:tcPr>
            <w:tcW w:w="1320" w:type="dxa"/>
          </w:tcPr>
          <w:p>
            <w:pPr>
              <w:pageBreakBefore w:val="0"/>
              <w:kinsoku/>
              <w:wordWrap/>
              <w:overflowPunct/>
              <w:bidi w:val="0"/>
              <w:adjustRightInd w:val="0"/>
              <w:snapToGrid w:val="0"/>
              <w:spacing w:before="120" w:beforeLines="50" w:line="4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代理服务费上限价（元）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42" w:type="dxa"/>
            <w:vAlign w:val="center"/>
          </w:tcPr>
          <w:p>
            <w:pPr>
              <w:pStyle w:val="81"/>
              <w:pageBreakBefore w:val="0"/>
              <w:widowControl/>
              <w:kinsoku/>
              <w:wordWrap/>
              <w:overflowPunct/>
              <w:bidi w:val="0"/>
              <w:spacing w:line="440" w:lineRule="exact"/>
              <w:ind w:firstLine="0" w:firstLineChars="0"/>
              <w:jc w:val="center"/>
              <w:rPr>
                <w:rFonts w:asciiTheme="minorEastAsia" w:hAnsiTheme="minorEastAsia" w:eastAsiaTheme="minorEastAsia" w:cstheme="minorEastAsia"/>
                <w:spacing w:val="0"/>
                <w:sz w:val="21"/>
                <w:szCs w:val="21"/>
              </w:rPr>
            </w:pPr>
            <w:r>
              <w:rPr>
                <w:rFonts w:asciiTheme="minorEastAsia" w:hAnsiTheme="minorEastAsia" w:eastAsiaTheme="minorEastAsia" w:cstheme="minorEastAsia"/>
                <w:spacing w:val="0"/>
                <w:sz w:val="21"/>
                <w:szCs w:val="21"/>
              </w:rPr>
              <w:t>1</w:t>
            </w:r>
          </w:p>
        </w:tc>
        <w:tc>
          <w:tcPr>
            <w:tcW w:w="1802" w:type="dxa"/>
            <w:vAlign w:val="center"/>
          </w:tcPr>
          <w:p>
            <w:pPr>
              <w:pStyle w:val="81"/>
              <w:pageBreakBefore w:val="0"/>
              <w:widowControl/>
              <w:kinsoku/>
              <w:wordWrap/>
              <w:overflowPunct/>
              <w:bidi w:val="0"/>
              <w:spacing w:line="440" w:lineRule="exact"/>
              <w:ind w:firstLine="0" w:firstLineChars="0"/>
              <w:jc w:val="center"/>
              <w:rPr>
                <w:rFonts w:asciiTheme="minorEastAsia" w:hAnsiTheme="minorEastAsia" w:eastAsiaTheme="minorEastAsia" w:cstheme="minorEastAsia"/>
                <w:spacing w:val="0"/>
                <w:sz w:val="21"/>
                <w:szCs w:val="21"/>
              </w:rPr>
            </w:pPr>
            <w:r>
              <w:rPr>
                <w:rFonts w:asciiTheme="minorEastAsia" w:hAnsiTheme="minorEastAsia" w:eastAsiaTheme="minorEastAsia" w:cstheme="minorEastAsia"/>
                <w:spacing w:val="0"/>
                <w:sz w:val="21"/>
                <w:szCs w:val="21"/>
              </w:rPr>
              <w:t>C06010000-新闻服务</w:t>
            </w:r>
          </w:p>
        </w:tc>
        <w:tc>
          <w:tcPr>
            <w:tcW w:w="2555" w:type="dxa"/>
            <w:vAlign w:val="center"/>
          </w:tcPr>
          <w:p>
            <w:pPr>
              <w:pStyle w:val="81"/>
              <w:pageBreakBefore w:val="0"/>
              <w:widowControl/>
              <w:kinsoku/>
              <w:wordWrap/>
              <w:overflowPunct/>
              <w:bidi w:val="0"/>
              <w:spacing w:line="440" w:lineRule="exact"/>
              <w:ind w:firstLine="0" w:firstLineChars="0"/>
              <w:jc w:val="center"/>
              <w:rPr>
                <w:rFonts w:asciiTheme="minorEastAsia" w:hAnsiTheme="minorEastAsia" w:eastAsiaTheme="minorEastAsia" w:cstheme="minorEastAsia"/>
                <w:spacing w:val="0"/>
                <w:sz w:val="21"/>
                <w:szCs w:val="21"/>
              </w:rPr>
            </w:pPr>
            <w:r>
              <w:rPr>
                <w:rFonts w:hint="eastAsia" w:ascii="宋体" w:hAnsi="宋体" w:eastAsia="宋体" w:cs="宋体"/>
                <w:spacing w:val="0"/>
                <w:kern w:val="2"/>
                <w:sz w:val="21"/>
                <w:szCs w:val="21"/>
                <w:lang w:val="en-US" w:eastAsia="zh-CN" w:bidi="ar-SA"/>
              </w:rPr>
              <w:t>《习近平总书记考察湖南三周年特别宣传策划》</w:t>
            </w:r>
          </w:p>
        </w:tc>
        <w:tc>
          <w:tcPr>
            <w:tcW w:w="500" w:type="dxa"/>
            <w:vAlign w:val="center"/>
          </w:tcPr>
          <w:p>
            <w:pPr>
              <w:pageBreakBefore w:val="0"/>
              <w:kinsoku/>
              <w:wordWrap/>
              <w:overflowPunct/>
              <w:bidi w:val="0"/>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587" w:type="dxa"/>
            <w:vAlign w:val="center"/>
          </w:tcPr>
          <w:p>
            <w:pPr>
              <w:pageBreakBefore w:val="0"/>
              <w:kinsoku/>
              <w:wordWrap/>
              <w:overflowPunct/>
              <w:bidi w:val="0"/>
              <w:spacing w:line="4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个</w:t>
            </w:r>
          </w:p>
        </w:tc>
        <w:tc>
          <w:tcPr>
            <w:tcW w:w="1388" w:type="dxa"/>
            <w:vAlign w:val="center"/>
          </w:tcPr>
          <w:p>
            <w:pPr>
              <w:pageBreakBefore w:val="0"/>
              <w:kinsoku/>
              <w:wordWrap/>
              <w:overflowPunct/>
              <w:bidi w:val="0"/>
              <w:spacing w:line="440" w:lineRule="exact"/>
              <w:jc w:val="center"/>
              <w:rPr>
                <w:rFonts w:asciiTheme="minorEastAsia" w:hAnsiTheme="minorEastAsia" w:eastAsiaTheme="minorEastAsia" w:cstheme="minorEastAsia"/>
                <w:szCs w:val="21"/>
              </w:rPr>
            </w:pPr>
            <w:r>
              <w:rPr>
                <w:rFonts w:hint="eastAsia" w:asciiTheme="minorEastAsia" w:hAnsiTheme="minorEastAsia"/>
                <w:szCs w:val="21"/>
                <w:lang w:val="en-US" w:eastAsia="zh-CN"/>
              </w:rPr>
              <w:t>900000.00</w:t>
            </w:r>
          </w:p>
        </w:tc>
        <w:tc>
          <w:tcPr>
            <w:tcW w:w="1263" w:type="dxa"/>
            <w:vAlign w:val="center"/>
          </w:tcPr>
          <w:p>
            <w:pPr>
              <w:pageBreakBefore w:val="0"/>
              <w:kinsoku/>
              <w:wordWrap/>
              <w:overflowPunct/>
              <w:bidi w:val="0"/>
              <w:spacing w:line="4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890550.00</w:t>
            </w:r>
          </w:p>
        </w:tc>
        <w:tc>
          <w:tcPr>
            <w:tcW w:w="1320" w:type="dxa"/>
            <w:vAlign w:val="center"/>
          </w:tcPr>
          <w:p>
            <w:pPr>
              <w:pageBreakBefore w:val="0"/>
              <w:kinsoku/>
              <w:wordWrap/>
              <w:overflowPunct/>
              <w:bidi w:val="0"/>
              <w:spacing w:line="4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9450.00</w:t>
            </w:r>
          </w:p>
        </w:tc>
      </w:tr>
    </w:tbl>
    <w:p>
      <w:pPr>
        <w:pageBreakBefore w:val="0"/>
        <w:widowControl/>
        <w:kinsoku/>
        <w:wordWrap/>
        <w:overflowPunct/>
        <w:bidi w:val="0"/>
        <w:spacing w:line="44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二、供应商资格要求：</w:t>
      </w:r>
    </w:p>
    <w:p>
      <w:pPr>
        <w:pageBreakBefore w:val="0"/>
        <w:kinsoku/>
        <w:wordWrap/>
        <w:overflowPunct/>
        <w:bidi w:val="0"/>
        <w:adjustRightInd w:val="0"/>
        <w:snapToGrid w:val="0"/>
        <w:spacing w:line="440" w:lineRule="exact"/>
        <w:ind w:firstLine="420" w:firstLineChars="200"/>
        <w:rPr>
          <w:rFonts w:asciiTheme="minorEastAsia" w:hAnsiTheme="minorEastAsia"/>
          <w:szCs w:val="21"/>
        </w:rPr>
      </w:pPr>
      <w:r>
        <w:rPr>
          <w:rFonts w:hint="eastAsia" w:asciiTheme="minorEastAsia" w:hAnsiTheme="minorEastAsia"/>
          <w:szCs w:val="21"/>
        </w:rPr>
        <w:t>1.满足《中华人民共和国政府采购法》第二十二条规定；</w:t>
      </w:r>
    </w:p>
    <w:p>
      <w:pPr>
        <w:pageBreakBefore w:val="0"/>
        <w:kinsoku/>
        <w:wordWrap/>
        <w:overflowPunct/>
        <w:bidi w:val="0"/>
        <w:spacing w:line="440" w:lineRule="exact"/>
        <w:ind w:firstLine="210" w:firstLineChars="100"/>
        <w:rPr>
          <w:rFonts w:hint="eastAsia" w:ascii="宋体" w:hAnsi="宋体" w:eastAsia="宋体" w:cs="宋体"/>
          <w:szCs w:val="21"/>
          <w:lang w:eastAsia="zh-CN"/>
        </w:rPr>
      </w:pPr>
      <w:r>
        <w:rPr>
          <w:rFonts w:hint="eastAsia" w:ascii="宋体" w:hAnsi="宋体" w:cs="宋体"/>
          <w:szCs w:val="21"/>
        </w:rPr>
        <w:t>（1）法人提交企业法人营业执照副本(或者法人登记证书)复印件</w:t>
      </w:r>
      <w:r>
        <w:rPr>
          <w:rFonts w:hint="eastAsia" w:ascii="宋体" w:hAnsi="宋体" w:cs="宋体"/>
          <w:szCs w:val="21"/>
          <w:lang w:eastAsia="zh-CN"/>
        </w:rPr>
        <w:t>；</w:t>
      </w:r>
    </w:p>
    <w:p>
      <w:pPr>
        <w:pageBreakBefore w:val="0"/>
        <w:kinsoku/>
        <w:wordWrap/>
        <w:overflowPunct/>
        <w:bidi w:val="0"/>
        <w:spacing w:line="440" w:lineRule="exact"/>
        <w:ind w:firstLine="210" w:firstLineChars="100"/>
        <w:rPr>
          <w:rFonts w:ascii="宋体" w:hAnsi="宋体" w:cs="宋体"/>
          <w:szCs w:val="21"/>
        </w:rPr>
      </w:pPr>
      <w:r>
        <w:rPr>
          <w:rFonts w:hint="eastAsia" w:ascii="宋体" w:hAnsi="宋体" w:cs="宋体"/>
          <w:szCs w:val="21"/>
        </w:rPr>
        <w:t>（2）依法缴纳税收和社会保险费的证明材料：各提供下列材料之一：</w:t>
      </w:r>
    </w:p>
    <w:p>
      <w:pPr>
        <w:pageBreakBefore w:val="0"/>
        <w:kinsoku/>
        <w:wordWrap/>
        <w:overflowPunct/>
        <w:bidi w:val="0"/>
        <w:spacing w:line="440" w:lineRule="exact"/>
        <w:ind w:firstLine="420" w:firstLineChars="200"/>
        <w:rPr>
          <w:rFonts w:ascii="宋体" w:hAnsi="宋体" w:cs="宋体"/>
          <w:szCs w:val="21"/>
        </w:rPr>
      </w:pPr>
      <w:r>
        <w:rPr>
          <w:rFonts w:hint="eastAsia" w:ascii="宋体" w:hAnsi="宋体" w:cs="宋体"/>
          <w:szCs w:val="21"/>
        </w:rPr>
        <w:t>①缴纳税收证明资料:《税务登记证》复印件，或者近</w:t>
      </w:r>
      <w:r>
        <w:rPr>
          <w:rFonts w:hint="eastAsia" w:ascii="宋体" w:hAnsi="宋体" w:cs="宋体"/>
          <w:szCs w:val="21"/>
          <w:lang w:val="en-US" w:eastAsia="zh-CN"/>
        </w:rPr>
        <w:t>三</w:t>
      </w:r>
      <w:r>
        <w:rPr>
          <w:rFonts w:hint="eastAsia" w:ascii="宋体" w:hAnsi="宋体" w:cs="宋体"/>
          <w:szCs w:val="21"/>
        </w:rPr>
        <w:t>个月</w:t>
      </w:r>
      <w:r>
        <w:rPr>
          <w:rFonts w:hint="eastAsia" w:ascii="宋体" w:hAnsi="宋体" w:cs="宋体"/>
          <w:szCs w:val="21"/>
          <w:lang w:val="en-US" w:eastAsia="zh-CN"/>
        </w:rPr>
        <w:t>内（2023年4月-6月）任意一个月</w:t>
      </w:r>
      <w:r>
        <w:rPr>
          <w:rFonts w:hint="eastAsia" w:ascii="宋体" w:hAnsi="宋体" w:cs="宋体"/>
          <w:szCs w:val="21"/>
        </w:rPr>
        <w:t>依法缴纳税收的证明（纳税凭证复印件），或者委托他人缴纳的委托代办协议和近</w:t>
      </w:r>
      <w:r>
        <w:rPr>
          <w:rFonts w:hint="eastAsia" w:ascii="宋体" w:hAnsi="宋体" w:cs="宋体"/>
          <w:szCs w:val="21"/>
          <w:lang w:val="en-US" w:eastAsia="zh-CN"/>
        </w:rPr>
        <w:t>三</w:t>
      </w:r>
      <w:r>
        <w:rPr>
          <w:rFonts w:hint="eastAsia" w:ascii="宋体" w:hAnsi="宋体" w:cs="宋体"/>
          <w:szCs w:val="21"/>
        </w:rPr>
        <w:t>个月</w:t>
      </w:r>
      <w:r>
        <w:rPr>
          <w:rFonts w:hint="eastAsia" w:ascii="宋体" w:hAnsi="宋体" w:cs="宋体"/>
          <w:szCs w:val="21"/>
          <w:lang w:val="en-US" w:eastAsia="zh-CN"/>
        </w:rPr>
        <w:t>内（2023年4月-6月）任意一个月</w:t>
      </w:r>
      <w:r>
        <w:rPr>
          <w:rFonts w:hint="eastAsia" w:ascii="宋体" w:hAnsi="宋体" w:cs="宋体"/>
          <w:szCs w:val="21"/>
        </w:rPr>
        <w:t>的缴纳证明（收据复印件），或者法定征收机关出具的依法免缴税收的证明原件；</w:t>
      </w:r>
    </w:p>
    <w:p>
      <w:pPr>
        <w:pageBreakBefore w:val="0"/>
        <w:kinsoku/>
        <w:wordWrap/>
        <w:overflowPunct/>
        <w:bidi w:val="0"/>
        <w:spacing w:line="440" w:lineRule="exact"/>
        <w:ind w:firstLine="420" w:firstLineChars="200"/>
        <w:rPr>
          <w:rFonts w:ascii="宋体" w:hAnsi="宋体" w:cs="宋体"/>
          <w:szCs w:val="21"/>
        </w:rPr>
      </w:pPr>
      <w:r>
        <w:rPr>
          <w:rFonts w:hint="eastAsia" w:ascii="宋体" w:hAnsi="宋体" w:cs="宋体"/>
          <w:szCs w:val="21"/>
        </w:rPr>
        <w:t>②缴纳社会保险证明资料：《社会保险登记证》复印件，或者近</w:t>
      </w:r>
      <w:r>
        <w:rPr>
          <w:rFonts w:hint="eastAsia" w:ascii="宋体" w:hAnsi="宋体" w:cs="宋体"/>
          <w:szCs w:val="21"/>
          <w:lang w:val="en-US" w:eastAsia="zh-CN"/>
        </w:rPr>
        <w:t>三</w:t>
      </w:r>
      <w:r>
        <w:rPr>
          <w:rFonts w:hint="eastAsia" w:ascii="宋体" w:hAnsi="宋体" w:cs="宋体"/>
          <w:szCs w:val="21"/>
        </w:rPr>
        <w:t>个月</w:t>
      </w:r>
      <w:r>
        <w:rPr>
          <w:rFonts w:hint="eastAsia" w:ascii="宋体" w:hAnsi="宋体" w:cs="宋体"/>
          <w:szCs w:val="21"/>
          <w:lang w:val="en-US" w:eastAsia="zh-CN"/>
        </w:rPr>
        <w:t>内（2023年4月-6月）任意一个月</w:t>
      </w:r>
      <w:r>
        <w:rPr>
          <w:rFonts w:hint="eastAsia" w:ascii="宋体" w:hAnsi="宋体" w:cs="宋体"/>
          <w:szCs w:val="21"/>
        </w:rPr>
        <w:t>依法缴纳社会保险的证明（缴费凭证复印件），或者委托他人缴纳的委托代办协议和近</w:t>
      </w:r>
      <w:r>
        <w:rPr>
          <w:rFonts w:hint="eastAsia" w:ascii="宋体" w:hAnsi="宋体" w:cs="宋体"/>
          <w:szCs w:val="21"/>
          <w:lang w:val="en-US" w:eastAsia="zh-CN"/>
        </w:rPr>
        <w:t>三</w:t>
      </w:r>
      <w:r>
        <w:rPr>
          <w:rFonts w:hint="eastAsia" w:ascii="宋体" w:hAnsi="宋体" w:cs="宋体"/>
          <w:szCs w:val="21"/>
        </w:rPr>
        <w:t>个月</w:t>
      </w:r>
      <w:r>
        <w:rPr>
          <w:rFonts w:hint="eastAsia" w:ascii="宋体" w:hAnsi="宋体" w:cs="宋体"/>
          <w:szCs w:val="21"/>
          <w:lang w:val="en-US" w:eastAsia="zh-CN"/>
        </w:rPr>
        <w:t>内（2023年4月-6月）任意一个月</w:t>
      </w:r>
      <w:r>
        <w:rPr>
          <w:rFonts w:hint="eastAsia" w:ascii="宋体" w:hAnsi="宋体" w:cs="宋体"/>
          <w:szCs w:val="21"/>
        </w:rPr>
        <w:t>的缴纳证明（收据复印件），或者法定征收机关出具的依法免缴保险费的证明原件；</w:t>
      </w:r>
    </w:p>
    <w:p>
      <w:pPr>
        <w:pageBreakBefore w:val="0"/>
        <w:kinsoku/>
        <w:wordWrap/>
        <w:overflowPunct/>
        <w:bidi w:val="0"/>
        <w:spacing w:line="440" w:lineRule="exact"/>
        <w:ind w:firstLine="210" w:firstLineChars="100"/>
        <w:rPr>
          <w:rFonts w:ascii="宋体" w:hAnsi="宋体" w:cs="宋体"/>
          <w:szCs w:val="21"/>
        </w:rPr>
      </w:pPr>
      <w:r>
        <w:rPr>
          <w:rFonts w:hint="eastAsia" w:ascii="宋体" w:hAnsi="宋体" w:cs="宋体"/>
          <w:szCs w:val="21"/>
        </w:rPr>
        <w:t xml:space="preserve">（3）法人提交法定代表人身份证明原件或者法定代表人授权委托书原件并附法定代表人身份证明原件； </w:t>
      </w:r>
    </w:p>
    <w:p>
      <w:pPr>
        <w:pageBreakBefore w:val="0"/>
        <w:kinsoku/>
        <w:wordWrap/>
        <w:overflowPunct/>
        <w:bidi w:val="0"/>
        <w:spacing w:line="440" w:lineRule="exact"/>
        <w:ind w:firstLine="210" w:firstLineChars="100"/>
        <w:rPr>
          <w:rFonts w:hint="eastAsia" w:ascii="宋体" w:hAnsi="宋体" w:cs="宋体"/>
          <w:szCs w:val="21"/>
          <w:lang w:eastAsia="zh-CN"/>
        </w:rPr>
      </w:pPr>
      <w:r>
        <w:rPr>
          <w:rFonts w:hint="eastAsia" w:ascii="宋体" w:hAnsi="宋体" w:cs="宋体"/>
          <w:szCs w:val="21"/>
        </w:rPr>
        <w:t>（4）提供2022年度经会计师事务所审计的财务报告复印件（至少包含资产负债表、利润表和现金流量表），或银行出具的资信证明</w:t>
      </w:r>
      <w:r>
        <w:rPr>
          <w:rFonts w:hint="eastAsia" w:ascii="宋体" w:hAnsi="宋体" w:cs="宋体"/>
          <w:szCs w:val="21"/>
          <w:lang w:eastAsia="zh-CN"/>
        </w:rPr>
        <w:t>；</w:t>
      </w:r>
    </w:p>
    <w:p>
      <w:pPr>
        <w:pageBreakBefore w:val="0"/>
        <w:kinsoku/>
        <w:wordWrap/>
        <w:overflowPunct/>
        <w:bidi w:val="0"/>
        <w:spacing w:line="440" w:lineRule="exact"/>
        <w:ind w:firstLine="210" w:firstLineChars="100"/>
        <w:rPr>
          <w:rFonts w:hint="eastAsia" w:ascii="宋体" w:hAnsi="宋体" w:cs="宋体"/>
          <w:szCs w:val="21"/>
          <w:lang w:eastAsia="zh-CN"/>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供应商</w:t>
      </w:r>
      <w:r>
        <w:rPr>
          <w:rFonts w:hint="eastAsia" w:ascii="宋体" w:hAnsi="宋体" w:cs="宋体"/>
          <w:szCs w:val="21"/>
        </w:rPr>
        <w:t>参加本次政府采购活动前3年内没有重大违法记录的书面声明。</w:t>
      </w:r>
    </w:p>
    <w:p>
      <w:pPr>
        <w:pageBreakBefore w:val="0"/>
        <w:kinsoku/>
        <w:wordWrap/>
        <w:overflowPunct/>
        <w:bidi w:val="0"/>
        <w:adjustRightInd w:val="0"/>
        <w:snapToGrid w:val="0"/>
        <w:spacing w:line="440" w:lineRule="exact"/>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.落实政府采购政策需满足的资格要求：</w:t>
      </w:r>
      <w:r>
        <w:rPr>
          <w:rFonts w:hint="eastAsia" w:asciiTheme="minorEastAsia" w:hAnsiTheme="minorEastAsia"/>
          <w:szCs w:val="21"/>
          <w:u w:val="single"/>
        </w:rPr>
        <w:t>政府采购价格扣除：小微企业、监狱企业、残疾人企业，详见竞争性磋商文件；</w:t>
      </w:r>
    </w:p>
    <w:p>
      <w:pPr>
        <w:pageBreakBefore w:val="0"/>
        <w:kinsoku/>
        <w:wordWrap/>
        <w:overflowPunct/>
        <w:bidi w:val="0"/>
        <w:adjustRightInd w:val="0"/>
        <w:snapToGrid w:val="0"/>
        <w:spacing w:line="440" w:lineRule="exact"/>
        <w:ind w:firstLine="420" w:firstLineChars="200"/>
        <w:rPr>
          <w:rFonts w:hint="eastAsia" w:eastAsia="宋体" w:asciiTheme="minorEastAsia" w:hAnsiTheme="minorEastAsia"/>
          <w:color w:val="0000FF"/>
          <w:szCs w:val="21"/>
          <w:lang w:eastAsia="zh-CN"/>
        </w:rPr>
      </w:pPr>
      <w:r>
        <w:rPr>
          <w:rFonts w:hint="eastAsia" w:asciiTheme="minorEastAsia" w:hAnsiTheme="minorEastAsia"/>
          <w:szCs w:val="21"/>
        </w:rPr>
        <w:t>3.本项目的特定资格要求：无</w:t>
      </w:r>
      <w:r>
        <w:rPr>
          <w:rFonts w:hint="eastAsia" w:asciiTheme="minorEastAsia" w:hAnsiTheme="minorEastAsia"/>
          <w:szCs w:val="21"/>
          <w:lang w:eastAsia="zh-CN"/>
        </w:rPr>
        <w:t>。</w:t>
      </w:r>
    </w:p>
    <w:p>
      <w:pPr>
        <w:pageBreakBefore w:val="0"/>
        <w:kinsoku/>
        <w:wordWrap/>
        <w:overflowPunct/>
        <w:bidi w:val="0"/>
        <w:adjustRightInd w:val="0"/>
        <w:snapToGrid w:val="0"/>
        <w:spacing w:line="440" w:lineRule="exact"/>
        <w:ind w:firstLine="420" w:firstLineChars="200"/>
        <w:rPr>
          <w:rFonts w:ascii="宋体" w:hAnsi="宋体"/>
          <w:szCs w:val="21"/>
        </w:rPr>
      </w:pPr>
      <w:r>
        <w:rPr>
          <w:rFonts w:hint="eastAsia" w:asciiTheme="minorEastAsia" w:hAnsiTheme="minorEastAsia"/>
          <w:szCs w:val="21"/>
        </w:rPr>
        <w:t>4.本项目不接受联合体</w:t>
      </w:r>
      <w:r>
        <w:rPr>
          <w:rFonts w:hint="eastAsia" w:ascii="宋体" w:hAnsi="宋体"/>
          <w:szCs w:val="21"/>
        </w:rPr>
        <w:t>。</w:t>
      </w:r>
    </w:p>
    <w:p>
      <w:pPr>
        <w:pageBreakBefore w:val="0"/>
        <w:kinsoku/>
        <w:wordWrap/>
        <w:overflowPunct/>
        <w:bidi w:val="0"/>
        <w:adjustRightInd w:val="0"/>
        <w:snapToGrid w:val="0"/>
        <w:spacing w:line="440" w:lineRule="exact"/>
        <w:ind w:firstLine="420" w:firstLineChars="200"/>
        <w:rPr>
          <w:rFonts w:asciiTheme="minorEastAsia" w:hAnsiTheme="minorEastAsia"/>
          <w:szCs w:val="21"/>
        </w:rPr>
      </w:pPr>
      <w:r>
        <w:rPr>
          <w:rFonts w:hint="eastAsia" w:asciiTheme="minorEastAsia" w:hAnsiTheme="minorEastAsia"/>
          <w:szCs w:val="21"/>
        </w:rPr>
        <w:t>5.单位负责人为同</w:t>
      </w:r>
      <w:r>
        <w:rPr>
          <w:rFonts w:hint="eastAsia" w:asciiTheme="minorEastAsia" w:hAnsiTheme="minorEastAsia"/>
          <w:szCs w:val="21"/>
          <w:lang w:val="en-US" w:eastAsia="zh-CN"/>
        </w:rPr>
        <w:t>一</w:t>
      </w:r>
      <w:r>
        <w:rPr>
          <w:rFonts w:hint="eastAsia" w:asciiTheme="minorEastAsia" w:hAnsiTheme="minorEastAsia"/>
          <w:szCs w:val="21"/>
        </w:rPr>
        <w:t>人或者存在直接控股、管理关系的不同供应商，不得参加同一合同项下的政府采购活动。</w:t>
      </w:r>
    </w:p>
    <w:p>
      <w:pPr>
        <w:pageBreakBefore w:val="0"/>
        <w:kinsoku/>
        <w:wordWrap/>
        <w:overflowPunct/>
        <w:bidi w:val="0"/>
        <w:adjustRightInd w:val="0"/>
        <w:snapToGrid w:val="0"/>
        <w:spacing w:line="440" w:lineRule="exact"/>
        <w:ind w:firstLine="420" w:firstLineChars="200"/>
        <w:rPr>
          <w:rFonts w:asciiTheme="minorEastAsia" w:hAnsiTheme="minorEastAsia"/>
          <w:szCs w:val="21"/>
        </w:rPr>
      </w:pPr>
      <w:r>
        <w:rPr>
          <w:rFonts w:hint="eastAsia" w:asciiTheme="minorEastAsia" w:hAnsiTheme="minorEastAsia"/>
          <w:szCs w:val="21"/>
        </w:rPr>
        <w:t>6.为本采购项目提供整体设计、规范编制或者项目管理、监理、检测等服务的，不得再参加此项目的其他采购活动。</w:t>
      </w:r>
    </w:p>
    <w:p>
      <w:pPr>
        <w:pageBreakBefore w:val="0"/>
        <w:kinsoku/>
        <w:wordWrap/>
        <w:overflowPunct/>
        <w:bidi w:val="0"/>
        <w:adjustRightInd w:val="0"/>
        <w:snapToGrid w:val="0"/>
        <w:spacing w:line="440" w:lineRule="exact"/>
        <w:ind w:firstLine="420" w:firstLineChars="200"/>
        <w:rPr>
          <w:rFonts w:asciiTheme="minorEastAsia" w:hAnsiTheme="minorEastAsia"/>
          <w:szCs w:val="21"/>
        </w:rPr>
      </w:pPr>
      <w:r>
        <w:rPr>
          <w:rFonts w:hint="eastAsia" w:asciiTheme="minorEastAsia" w:hAnsiTheme="minorEastAsia"/>
          <w:szCs w:val="21"/>
        </w:rPr>
        <w:t>7.列入失信被执行人、重大税收违法案件当事人名单，列入政府采购严重违法失信行为记录名单的，拒绝其参与政府采购活动。</w:t>
      </w:r>
    </w:p>
    <w:p>
      <w:pPr>
        <w:pageBreakBefore w:val="0"/>
        <w:kinsoku/>
        <w:wordWrap/>
        <w:overflowPunct/>
        <w:bidi w:val="0"/>
        <w:adjustRightInd w:val="0"/>
        <w:snapToGrid w:val="0"/>
        <w:spacing w:line="440" w:lineRule="exact"/>
        <w:ind w:firstLine="420" w:firstLineChars="200"/>
        <w:rPr>
          <w:rFonts w:asciiTheme="minorEastAsia" w:hAnsiTheme="minorEastAsia"/>
          <w:szCs w:val="21"/>
        </w:rPr>
      </w:pPr>
      <w:r>
        <w:rPr>
          <w:rFonts w:hint="eastAsia" w:asciiTheme="minorEastAsia" w:hAnsiTheme="minorEastAsia"/>
          <w:szCs w:val="21"/>
        </w:rPr>
        <w:t>注：（1）供应商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w:t>
      </w:r>
      <w:r>
        <w:rPr>
          <w:rFonts w:hint="eastAsia" w:asciiTheme="minorEastAsia" w:hAnsiTheme="minorEastAsia"/>
          <w:szCs w:val="21"/>
          <w:lang w:eastAsia="zh-CN"/>
        </w:rPr>
        <w:t>；</w:t>
      </w:r>
      <w:r>
        <w:rPr>
          <w:rFonts w:hint="eastAsia" w:asciiTheme="minorEastAsia" w:hAnsiTheme="minorEastAsia"/>
          <w:szCs w:val="21"/>
        </w:rPr>
        <w:t>（</w:t>
      </w:r>
      <w:r>
        <w:rPr>
          <w:rFonts w:hint="eastAsia" w:asciiTheme="minorEastAsia" w:hAnsiTheme="minorEastAsia"/>
          <w:szCs w:val="21"/>
          <w:lang w:val="en-US" w:eastAsia="zh-CN"/>
        </w:rPr>
        <w:t>2</w:t>
      </w:r>
      <w:r>
        <w:rPr>
          <w:rFonts w:hint="eastAsia" w:asciiTheme="minorEastAsia" w:hAnsiTheme="minorEastAsia"/>
          <w:szCs w:val="21"/>
        </w:rPr>
        <w:t>）资格证明文件复印件须加盖供应商公章。</w:t>
      </w:r>
    </w:p>
    <w:p>
      <w:pPr>
        <w:pageBreakBefore w:val="0"/>
        <w:widowControl/>
        <w:kinsoku/>
        <w:wordWrap/>
        <w:overflowPunct/>
        <w:bidi w:val="0"/>
        <w:spacing w:line="44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三、获取磋商文件的时间、地点及方式</w:t>
      </w:r>
    </w:p>
    <w:p>
      <w:pPr>
        <w:pageBreakBefore w:val="0"/>
        <w:kinsoku/>
        <w:wordWrap/>
        <w:overflowPunct/>
        <w:bidi w:val="0"/>
        <w:adjustRightInd w:val="0"/>
        <w:snapToGrid w:val="0"/>
        <w:spacing w:line="440" w:lineRule="exact"/>
        <w:ind w:firstLine="420" w:firstLineChars="200"/>
        <w:outlineLv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1、凡有意参加磋商采购活动</w:t>
      </w:r>
      <w:r>
        <w:rPr>
          <w:rFonts w:hint="eastAsia" w:asciiTheme="minorEastAsia" w:hAnsiTheme="minorEastAsia" w:eastAsiaTheme="minorEastAsia" w:cstheme="minorEastAsia"/>
          <w:color w:val="auto"/>
          <w:szCs w:val="21"/>
        </w:rPr>
        <w:t>的，请于</w:t>
      </w:r>
      <w:r>
        <w:rPr>
          <w:rFonts w:hint="eastAsia" w:asciiTheme="minorEastAsia" w:hAnsiTheme="minorEastAsia" w:eastAsiaTheme="minorEastAsia" w:cstheme="minorEastAsia"/>
          <w:color w:val="auto"/>
          <w:szCs w:val="21"/>
          <w:u w:val="single"/>
        </w:rPr>
        <w:t>2023</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lang w:val="en-US" w:eastAsia="zh-CN"/>
        </w:rPr>
        <w:t xml:space="preserve"> 07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lang w:val="en-US" w:eastAsia="zh-CN"/>
        </w:rPr>
        <w:t xml:space="preserve"> 31 </w:t>
      </w:r>
      <w:r>
        <w:rPr>
          <w:rFonts w:hint="eastAsia" w:asciiTheme="minorEastAsia" w:hAnsiTheme="minorEastAsia" w:eastAsiaTheme="minorEastAsia" w:cstheme="minorEastAsia"/>
          <w:color w:val="auto"/>
          <w:szCs w:val="21"/>
        </w:rPr>
        <w:t>日起至</w:t>
      </w:r>
      <w:r>
        <w:rPr>
          <w:rFonts w:hint="eastAsia" w:asciiTheme="minorEastAsia" w:hAnsiTheme="minorEastAsia" w:eastAsiaTheme="minorEastAsia" w:cstheme="minorEastAsia"/>
          <w:color w:val="auto"/>
          <w:szCs w:val="21"/>
          <w:u w:val="single"/>
        </w:rPr>
        <w:t>2023</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lang w:val="en-US" w:eastAsia="zh-CN"/>
        </w:rPr>
        <w:t xml:space="preserve"> 08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 xml:space="preserve">07 </w:t>
      </w:r>
      <w:r>
        <w:rPr>
          <w:rFonts w:hint="eastAsia" w:asciiTheme="minorEastAsia" w:hAnsiTheme="minorEastAsia" w:eastAsiaTheme="minorEastAsia" w:cstheme="minorEastAsia"/>
          <w:color w:val="auto"/>
          <w:szCs w:val="21"/>
        </w:rPr>
        <w:t>日(节假日除外)，每日上午</w:t>
      </w:r>
      <w:r>
        <w:rPr>
          <w:rFonts w:hint="eastAsia" w:asciiTheme="minorEastAsia" w:hAnsiTheme="minorEastAsia" w:eastAsiaTheme="minorEastAsia" w:cstheme="minorEastAsia"/>
          <w:color w:val="auto"/>
          <w:szCs w:val="21"/>
          <w:u w:val="single"/>
        </w:rPr>
        <w:t>9:00</w:t>
      </w:r>
      <w:r>
        <w:rPr>
          <w:rFonts w:hint="eastAsia" w:asciiTheme="minorEastAsia" w:hAnsiTheme="minorEastAsia" w:eastAsiaTheme="minorEastAsia" w:cstheme="minorEastAsia"/>
          <w:color w:val="auto"/>
          <w:szCs w:val="21"/>
        </w:rPr>
        <w:t>至</w:t>
      </w:r>
      <w:r>
        <w:rPr>
          <w:rFonts w:hint="eastAsia" w:asciiTheme="minorEastAsia" w:hAnsiTheme="minorEastAsia" w:eastAsiaTheme="minorEastAsia" w:cstheme="minorEastAsia"/>
          <w:color w:val="auto"/>
          <w:szCs w:val="21"/>
          <w:u w:val="single"/>
        </w:rPr>
        <w:t>12:00</w:t>
      </w:r>
      <w:r>
        <w:rPr>
          <w:rFonts w:hint="eastAsia" w:asciiTheme="minorEastAsia" w:hAnsiTheme="minorEastAsia" w:eastAsiaTheme="minorEastAsia" w:cstheme="minorEastAsia"/>
          <w:color w:val="auto"/>
          <w:szCs w:val="21"/>
        </w:rPr>
        <w:t>、下午</w:t>
      </w:r>
      <w:r>
        <w:rPr>
          <w:rFonts w:hint="eastAsia" w:asciiTheme="minorEastAsia" w:hAnsiTheme="minorEastAsia" w:eastAsiaTheme="minorEastAsia" w:cstheme="minorEastAsia"/>
          <w:color w:val="auto"/>
          <w:szCs w:val="21"/>
          <w:u w:val="single"/>
        </w:rPr>
        <w:t>14:00</w:t>
      </w:r>
      <w:r>
        <w:rPr>
          <w:rFonts w:hint="eastAsia" w:asciiTheme="minorEastAsia" w:hAnsiTheme="minorEastAsia" w:eastAsiaTheme="minorEastAsia" w:cstheme="minorEastAsia"/>
          <w:color w:val="auto"/>
          <w:szCs w:val="21"/>
        </w:rPr>
        <w:t>至</w:t>
      </w:r>
      <w:r>
        <w:rPr>
          <w:rFonts w:hint="eastAsia" w:asciiTheme="minorEastAsia" w:hAnsiTheme="minorEastAsia" w:eastAsiaTheme="minorEastAsia" w:cstheme="minorEastAsia"/>
          <w:color w:val="auto"/>
          <w:szCs w:val="21"/>
          <w:u w:val="single"/>
        </w:rPr>
        <w:t>17:00</w:t>
      </w:r>
      <w:r>
        <w:rPr>
          <w:rFonts w:hint="eastAsia" w:asciiTheme="minorEastAsia" w:hAnsiTheme="minorEastAsia" w:eastAsiaTheme="minorEastAsia" w:cstheme="minorEastAsia"/>
          <w:color w:val="auto"/>
          <w:szCs w:val="21"/>
        </w:rPr>
        <w:t>(北京时间)，持营业执照副本复印件、法定代表人身份证明或授权委托书(附法定代表人身份证明)、个人身份证到</w:t>
      </w:r>
      <w:r>
        <w:rPr>
          <w:rFonts w:hint="eastAsia" w:asciiTheme="minorEastAsia" w:hAnsiTheme="minorEastAsia" w:eastAsiaTheme="minorEastAsia" w:cstheme="minorEastAsia"/>
          <w:color w:val="auto"/>
          <w:kern w:val="0"/>
          <w:szCs w:val="21"/>
          <w:u w:val="single"/>
        </w:rPr>
        <w:t>湖南建衡达工程咨询有限公司（长沙市雨花区美林街35号华雅花园1栋32楼）</w:t>
      </w:r>
      <w:r>
        <w:rPr>
          <w:rFonts w:hint="eastAsia" w:asciiTheme="minorEastAsia" w:hAnsiTheme="minorEastAsia" w:eastAsiaTheme="minorEastAsia" w:cstheme="minorEastAsia"/>
          <w:color w:val="auto"/>
          <w:kern w:val="0"/>
          <w:szCs w:val="21"/>
        </w:rPr>
        <w:t>领取</w:t>
      </w:r>
      <w:r>
        <w:rPr>
          <w:rFonts w:hint="eastAsia" w:asciiTheme="minorEastAsia" w:hAnsiTheme="minorEastAsia" w:eastAsiaTheme="minorEastAsia" w:cstheme="minorEastAsia"/>
          <w:color w:val="auto"/>
          <w:szCs w:val="21"/>
        </w:rPr>
        <w:t xml:space="preserve">磋商文件。 </w:t>
      </w:r>
    </w:p>
    <w:p>
      <w:pPr>
        <w:pageBreakBefore w:val="0"/>
        <w:kinsoku/>
        <w:wordWrap/>
        <w:overflowPunct/>
        <w:bidi w:val="0"/>
        <w:adjustRightInd w:val="0"/>
        <w:snapToGrid w:val="0"/>
        <w:spacing w:line="440" w:lineRule="exact"/>
        <w:ind w:firstLine="420" w:firstLineChars="200"/>
        <w:outlineLv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2、磋商文件每份人民币</w:t>
      </w:r>
      <w:r>
        <w:rPr>
          <w:rFonts w:hint="eastAsia" w:asciiTheme="minorEastAsia" w:hAnsiTheme="minorEastAsia" w:eastAsiaTheme="minorEastAsia" w:cstheme="minorEastAsia"/>
          <w:color w:val="auto"/>
          <w:szCs w:val="21"/>
          <w:u w:val="single"/>
        </w:rPr>
        <w:t>0</w:t>
      </w:r>
      <w:r>
        <w:rPr>
          <w:rFonts w:hint="eastAsia" w:asciiTheme="minorEastAsia" w:hAnsiTheme="minorEastAsia" w:eastAsiaTheme="minorEastAsia" w:cstheme="minorEastAsia"/>
          <w:color w:val="auto"/>
          <w:szCs w:val="21"/>
        </w:rPr>
        <w:t>元，售后不退。</w:t>
      </w:r>
    </w:p>
    <w:p>
      <w:pPr>
        <w:pageBreakBefore w:val="0"/>
        <w:widowControl/>
        <w:kinsoku/>
        <w:wordWrap/>
        <w:overflowPunct/>
        <w:bidi w:val="0"/>
        <w:spacing w:line="440" w:lineRule="exact"/>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四、响应文件提交的截止时间、开启时间及地点</w:t>
      </w:r>
    </w:p>
    <w:p>
      <w:pPr>
        <w:pageBreakBefore w:val="0"/>
        <w:kinsoku/>
        <w:wordWrap/>
        <w:overflowPunct/>
        <w:bidi w:val="0"/>
        <w:adjustRightInd w:val="0"/>
        <w:snapToGrid w:val="0"/>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1、提交首次响应文件的截止时间为</w:t>
      </w:r>
      <w:r>
        <w:rPr>
          <w:rFonts w:hint="eastAsia" w:asciiTheme="minorEastAsia" w:hAnsiTheme="minorEastAsia" w:eastAsiaTheme="minorEastAsia" w:cstheme="minorEastAsia"/>
          <w:color w:val="auto"/>
          <w:szCs w:val="21"/>
          <w:u w:val="single"/>
        </w:rPr>
        <w:t>2023</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lang w:val="en-US" w:eastAsia="zh-CN"/>
        </w:rPr>
        <w:t xml:space="preserve"> 08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lang w:val="en-US" w:eastAsia="zh-CN"/>
        </w:rPr>
        <w:t xml:space="preserve"> 15 </w:t>
      </w:r>
      <w:r>
        <w:rPr>
          <w:rFonts w:hint="eastAsia" w:asciiTheme="minorEastAsia" w:hAnsiTheme="minorEastAsia" w:eastAsiaTheme="minorEastAsia" w:cstheme="minorEastAsia"/>
          <w:color w:val="auto"/>
          <w:szCs w:val="21"/>
        </w:rPr>
        <w:t>日</w:t>
      </w:r>
      <w:r>
        <w:rPr>
          <w:rFonts w:hint="eastAsia" w:asciiTheme="minorEastAsia" w:hAnsiTheme="minorEastAsia" w:eastAsiaTheme="minorEastAsia" w:cstheme="minorEastAsia"/>
          <w:color w:val="auto"/>
          <w:szCs w:val="21"/>
          <w:lang w:val="en-US" w:eastAsia="zh-CN"/>
        </w:rPr>
        <w:t>上</w:t>
      </w:r>
      <w:r>
        <w:rPr>
          <w:rFonts w:hint="eastAsia" w:asciiTheme="minorEastAsia" w:hAnsiTheme="minorEastAsia" w:eastAsiaTheme="minorEastAsia" w:cstheme="minorEastAsia"/>
          <w:color w:val="auto"/>
          <w:szCs w:val="21"/>
        </w:rPr>
        <w:t>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 xml:space="preserve">09 </w:t>
      </w:r>
      <w:r>
        <w:rPr>
          <w:rFonts w:hint="eastAsia" w:asciiTheme="minorEastAsia" w:hAnsiTheme="minorEastAsia" w:eastAsiaTheme="minorEastAsia" w:cstheme="minorEastAsia"/>
          <w:color w:val="auto"/>
          <w:szCs w:val="21"/>
        </w:rPr>
        <w:t>时</w:t>
      </w:r>
      <w:r>
        <w:rPr>
          <w:rFonts w:hint="eastAsia" w:asciiTheme="minorEastAsia" w:hAnsiTheme="minorEastAsia" w:eastAsiaTheme="minorEastAsia" w:cstheme="minorEastAsia"/>
          <w:color w:val="auto"/>
          <w:szCs w:val="21"/>
          <w:u w:val="single"/>
          <w:lang w:val="en-US" w:eastAsia="zh-CN"/>
        </w:rPr>
        <w:t xml:space="preserve"> 30 </w:t>
      </w:r>
      <w:r>
        <w:rPr>
          <w:rFonts w:hint="eastAsia" w:asciiTheme="minorEastAsia" w:hAnsiTheme="minorEastAsia" w:eastAsiaTheme="minorEastAsia" w:cstheme="minorEastAsia"/>
          <w:color w:val="auto"/>
          <w:szCs w:val="21"/>
        </w:rPr>
        <w:t>分（北京时间），地点为</w:t>
      </w:r>
      <w:r>
        <w:rPr>
          <w:rFonts w:hint="eastAsia" w:asciiTheme="minorEastAsia" w:hAnsiTheme="minorEastAsia" w:eastAsiaTheme="minorEastAsia" w:cstheme="minorEastAsia"/>
          <w:color w:val="auto"/>
          <w:szCs w:val="21"/>
          <w:u w:val="single"/>
        </w:rPr>
        <w:t>湖南建衡达工程咨询有限公司（长沙市雨花区美林街35号华雅花园1栋32楼）</w:t>
      </w:r>
      <w:r>
        <w:rPr>
          <w:rFonts w:hint="eastAsia" w:asciiTheme="minorEastAsia" w:hAnsiTheme="minorEastAsia" w:eastAsiaTheme="minorEastAsia" w:cstheme="minorEastAsia"/>
          <w:color w:val="auto"/>
          <w:szCs w:val="21"/>
        </w:rPr>
        <w:t>。在截止时间后送达的响应文件为无效文件，采购人、采购代理机构或者磋商小组应当拒收。</w:t>
      </w:r>
    </w:p>
    <w:p>
      <w:pPr>
        <w:pageBreakBefore w:val="0"/>
        <w:tabs>
          <w:tab w:val="left" w:pos="360"/>
        </w:tabs>
        <w:kinsoku/>
        <w:wordWrap/>
        <w:overflowPunct/>
        <w:bidi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2、首次响应文件的开启时间及地点与提交首次响应文件的截止时间及地点为同一时间及地点。</w:t>
      </w:r>
    </w:p>
    <w:p>
      <w:pPr>
        <w:pageBreakBefore w:val="0"/>
        <w:kinsoku/>
        <w:wordWrap/>
        <w:overflowPunct/>
        <w:bidi w:val="0"/>
        <w:adjustRightInd w:val="0"/>
        <w:snapToGrid w:val="0"/>
        <w:spacing w:line="440" w:lineRule="exac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五、采购项目联系人姓名和电话</w:t>
      </w:r>
    </w:p>
    <w:p>
      <w:pPr>
        <w:pageBreakBefore w:val="0"/>
        <w:kinsoku/>
        <w:wordWrap/>
        <w:overflowPunct/>
        <w:bidi w:val="0"/>
        <w:adjustRightInd w:val="0"/>
        <w:snapToGrid w:val="0"/>
        <w:spacing w:line="440" w:lineRule="exact"/>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采购人：</w:t>
      </w:r>
      <w:r>
        <w:rPr>
          <w:rFonts w:hint="eastAsia" w:asciiTheme="minorEastAsia" w:hAnsiTheme="minorEastAsia" w:eastAsiaTheme="minorEastAsia" w:cstheme="minorEastAsia"/>
          <w:szCs w:val="21"/>
          <w:lang w:eastAsia="zh-CN"/>
        </w:rPr>
        <w:t>湖南省科技厅</w:t>
      </w:r>
    </w:p>
    <w:p>
      <w:pPr>
        <w:pageBreakBefore w:val="0"/>
        <w:kinsoku/>
        <w:wordWrap/>
        <w:overflowPunct/>
        <w:bidi w:val="0"/>
        <w:adjustRightInd w:val="0"/>
        <w:snapToGrid w:val="0"/>
        <w:spacing w:line="440" w:lineRule="exact"/>
        <w:ind w:firstLine="420" w:firstLineChars="200"/>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联系电话：</w:t>
      </w:r>
      <w:r>
        <w:rPr>
          <w:rFonts w:hint="eastAsia" w:asciiTheme="minorEastAsia" w:hAnsiTheme="minorEastAsia" w:eastAsiaTheme="minorEastAsia" w:cstheme="minorEastAsia"/>
          <w:color w:val="auto"/>
          <w:szCs w:val="21"/>
          <w:lang w:val="en-US" w:eastAsia="zh-CN"/>
        </w:rPr>
        <w:t>0731-88988666</w:t>
      </w:r>
    </w:p>
    <w:p>
      <w:pPr>
        <w:pageBreakBefore w:val="0"/>
        <w:kinsoku/>
        <w:wordWrap/>
        <w:overflowPunct/>
        <w:bidi w:val="0"/>
        <w:adjustRightInd w:val="0"/>
        <w:snapToGrid w:val="0"/>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地  址：湖南省长沙市岳麓大道233号</w:t>
      </w:r>
    </w:p>
    <w:p>
      <w:pPr>
        <w:pageBreakBefore w:val="0"/>
        <w:kinsoku/>
        <w:wordWrap/>
        <w:overflowPunct/>
        <w:bidi w:val="0"/>
        <w:adjustRightInd w:val="0"/>
        <w:snapToGrid w:val="0"/>
        <w:spacing w:line="440" w:lineRule="exact"/>
        <w:ind w:firstLine="420" w:firstLineChars="200"/>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联系人：</w:t>
      </w:r>
      <w:r>
        <w:rPr>
          <w:rFonts w:hint="eastAsia" w:asciiTheme="minorEastAsia" w:hAnsiTheme="minorEastAsia" w:eastAsiaTheme="minorEastAsia" w:cstheme="minorEastAsia"/>
          <w:color w:val="auto"/>
          <w:szCs w:val="21"/>
          <w:lang w:val="en-US" w:eastAsia="zh-CN"/>
        </w:rPr>
        <w:t>杨唯希</w:t>
      </w:r>
    </w:p>
    <w:p>
      <w:pPr>
        <w:pageBreakBefore w:val="0"/>
        <w:kinsoku/>
        <w:wordWrap/>
        <w:overflowPunct/>
        <w:bidi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w:t>
      </w:r>
      <w:r>
        <w:rPr>
          <w:rFonts w:hint="eastAsia" w:asciiTheme="minorEastAsia" w:hAnsiTheme="minorEastAsia" w:eastAsiaTheme="minorEastAsia" w:cstheme="minorEastAsia"/>
          <w:color w:val="000000"/>
          <w:kern w:val="0"/>
          <w:szCs w:val="21"/>
        </w:rPr>
        <w:t>湖南建衡达工程咨询有限公司</w:t>
      </w:r>
    </w:p>
    <w:p>
      <w:pPr>
        <w:pageBreakBefore w:val="0"/>
        <w:kinsoku/>
        <w:wordWrap/>
        <w:overflowPunct/>
        <w:bidi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color w:val="000000"/>
          <w:kern w:val="0"/>
          <w:szCs w:val="21"/>
        </w:rPr>
        <w:t>0731-85410131</w:t>
      </w:r>
    </w:p>
    <w:p>
      <w:pPr>
        <w:pageBreakBefore w:val="0"/>
        <w:kinsoku/>
        <w:wordWrap/>
        <w:overflowPunct/>
        <w:bidi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color w:val="000000"/>
          <w:kern w:val="0"/>
          <w:szCs w:val="21"/>
        </w:rPr>
        <w:t>长沙市雨花区美林街35号华雅花园1栋32楼</w:t>
      </w:r>
    </w:p>
    <w:p>
      <w:pPr>
        <w:pageBreakBefore w:val="0"/>
        <w:kinsoku/>
        <w:wordWrap/>
        <w:overflowPunct/>
        <w:bidi w:val="0"/>
        <w:adjustRightInd w:val="0"/>
        <w:snapToGrid w:val="0"/>
        <w:spacing w:line="440" w:lineRule="exact"/>
        <w:ind w:firstLine="420" w:firstLineChars="200"/>
        <w:rPr>
          <w:rFonts w:hint="default" w:ascii="宋体" w:hAnsi="宋体"/>
          <w:b/>
          <w:sz w:val="36"/>
          <w:szCs w:val="36"/>
          <w:lang w:val="en-US"/>
        </w:rPr>
      </w:pPr>
      <w:r>
        <w:rPr>
          <w:rFonts w:hint="eastAsia" w:asciiTheme="minorEastAsia" w:hAnsiTheme="minorEastAsia" w:eastAsiaTheme="minorEastAsia" w:cstheme="minorEastAsia"/>
          <w:szCs w:val="21"/>
        </w:rPr>
        <w:t>联 系 人：</w:t>
      </w:r>
      <w:bookmarkStart w:id="1" w:name="_Toc18652"/>
      <w:bookmarkStart w:id="2" w:name="_Toc489882257"/>
      <w:r>
        <w:rPr>
          <w:rFonts w:hint="eastAsia" w:asciiTheme="minorEastAsia" w:hAnsiTheme="minorEastAsia" w:eastAsiaTheme="minorEastAsia" w:cstheme="minorEastAsia"/>
          <w:szCs w:val="21"/>
          <w:lang w:val="en-US" w:eastAsia="zh-CN"/>
        </w:rPr>
        <w:t>林贤鹏</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徐闻泽、牙敏</w:t>
      </w:r>
    </w:p>
    <w:p>
      <w:pPr>
        <w:pageBreakBefore w:val="0"/>
        <w:kinsoku/>
        <w:wordWrap/>
        <w:overflowPunct/>
        <w:bidi w:val="0"/>
        <w:spacing w:before="120" w:beforeLines="50" w:after="240" w:afterLines="100" w:line="440" w:lineRule="exact"/>
        <w:jc w:val="center"/>
        <w:outlineLvl w:val="0"/>
        <w:rPr>
          <w:rFonts w:hint="eastAsia" w:ascii="宋体" w:hAnsi="宋体"/>
          <w:b/>
          <w:sz w:val="36"/>
          <w:szCs w:val="36"/>
        </w:rPr>
      </w:pPr>
    </w:p>
    <w:p>
      <w:pPr>
        <w:pageBreakBefore w:val="0"/>
        <w:kinsoku/>
        <w:wordWrap/>
        <w:overflowPunct/>
        <w:bidi w:val="0"/>
        <w:spacing w:before="120" w:beforeLines="50" w:after="240" w:afterLines="100" w:line="440" w:lineRule="exact"/>
        <w:jc w:val="center"/>
        <w:outlineLvl w:val="0"/>
        <w:rPr>
          <w:rFonts w:ascii="宋体" w:hAnsi="宋体"/>
          <w:b/>
          <w:sz w:val="36"/>
          <w:szCs w:val="36"/>
        </w:rPr>
      </w:pPr>
      <w:r>
        <w:rPr>
          <w:rFonts w:hint="eastAsia" w:ascii="宋体" w:hAnsi="宋体"/>
          <w:b/>
          <w:sz w:val="36"/>
          <w:szCs w:val="36"/>
        </w:rPr>
        <w:t>第二章 磋商须知</w:t>
      </w:r>
      <w:bookmarkEnd w:id="1"/>
      <w:bookmarkEnd w:id="2"/>
    </w:p>
    <w:p>
      <w:pPr>
        <w:pageBreakBefore w:val="0"/>
        <w:kinsoku/>
        <w:wordWrap/>
        <w:overflowPunct/>
        <w:bidi w:val="0"/>
        <w:spacing w:after="120" w:afterLines="50" w:line="440" w:lineRule="exact"/>
        <w:jc w:val="center"/>
        <w:outlineLvl w:val="1"/>
        <w:rPr>
          <w:rFonts w:ascii="宋体" w:hAnsi="宋体"/>
          <w:b/>
          <w:sz w:val="30"/>
          <w:szCs w:val="30"/>
        </w:rPr>
      </w:pPr>
      <w:bookmarkStart w:id="3" w:name="_Toc489882258"/>
      <w:bookmarkStart w:id="4" w:name="_Toc29616"/>
      <w:r>
        <w:rPr>
          <w:rFonts w:hint="eastAsia" w:ascii="宋体" w:hAnsi="宋体"/>
          <w:b/>
          <w:sz w:val="30"/>
          <w:szCs w:val="30"/>
        </w:rPr>
        <w:t>磋商须知前附表</w:t>
      </w:r>
      <w:bookmarkEnd w:id="3"/>
      <w:bookmarkEnd w:id="4"/>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661"/>
        <w:gridCol w:w="60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jc w:val="center"/>
        </w:trPr>
        <w:tc>
          <w:tcPr>
            <w:tcW w:w="1529" w:type="dxa"/>
            <w:vAlign w:val="center"/>
          </w:tcPr>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b/>
                <w:szCs w:val="21"/>
              </w:rPr>
              <w:t>条款号</w:t>
            </w:r>
          </w:p>
        </w:tc>
        <w:tc>
          <w:tcPr>
            <w:tcW w:w="1661" w:type="dxa"/>
            <w:vAlign w:val="center"/>
          </w:tcPr>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b/>
                <w:szCs w:val="21"/>
              </w:rPr>
              <w:t>条款名称</w:t>
            </w:r>
          </w:p>
        </w:tc>
        <w:tc>
          <w:tcPr>
            <w:tcW w:w="6038" w:type="dxa"/>
            <w:vAlign w:val="center"/>
          </w:tcPr>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228" w:type="dxa"/>
            <w:gridSpan w:val="3"/>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hAnsi="宋体"/>
                <w:b/>
                <w:sz w:val="24"/>
              </w:rPr>
              <w:t>一、说明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第1.1款</w:t>
            </w:r>
          </w:p>
        </w:tc>
        <w:tc>
          <w:tcPr>
            <w:tcW w:w="1661" w:type="dxa"/>
            <w:vAlign w:val="center"/>
          </w:tcPr>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采购项目</w:t>
            </w:r>
          </w:p>
        </w:tc>
        <w:tc>
          <w:tcPr>
            <w:tcW w:w="6038" w:type="dxa"/>
            <w:vAlign w:val="center"/>
          </w:tcPr>
          <w:p>
            <w:pPr>
              <w:pStyle w:val="81"/>
              <w:pageBreakBefore w:val="0"/>
              <w:widowControl/>
              <w:kinsoku/>
              <w:wordWrap/>
              <w:overflowPunct/>
              <w:bidi w:val="0"/>
              <w:spacing w:line="440" w:lineRule="exact"/>
              <w:ind w:firstLine="0" w:firstLineChars="0"/>
              <w:rPr>
                <w:rFonts w:hint="eastAsia" w:ascii="宋体" w:hAnsi="宋体" w:eastAsiaTheme="minorEastAsia"/>
                <w:szCs w:val="21"/>
                <w:lang w:eastAsia="zh-CN"/>
              </w:rPr>
            </w:pPr>
            <w:r>
              <w:rPr>
                <w:rFonts w:hint="eastAsia" w:asciiTheme="minorEastAsia" w:hAnsiTheme="minorEastAsia" w:eastAsiaTheme="minorEastAsia" w:cstheme="minorEastAsia"/>
                <w:spacing w:val="0"/>
                <w:sz w:val="21"/>
                <w:szCs w:val="21"/>
              </w:rPr>
              <w:tab/>
            </w:r>
            <w:r>
              <w:rPr>
                <w:rFonts w:hint="eastAsia" w:asciiTheme="minorEastAsia" w:hAnsiTheme="minorEastAsia" w:eastAsiaTheme="minorEastAsia" w:cstheme="minorEastAsia"/>
                <w:spacing w:val="0"/>
                <w:sz w:val="21"/>
                <w:szCs w:val="21"/>
              </w:rPr>
              <w:tab/>
            </w:r>
            <w:r>
              <w:rPr>
                <w:rFonts w:hint="eastAsia" w:asciiTheme="minorEastAsia" w:hAnsiTheme="minorEastAsia" w:eastAsiaTheme="minorEastAsia" w:cstheme="minorEastAsia"/>
                <w:spacing w:val="0"/>
                <w:sz w:val="21"/>
                <w:szCs w:val="21"/>
                <w:lang w:eastAsia="zh-CN"/>
              </w:rPr>
              <w:t>《习近平总书记考察湖南三周年特别宣传策划》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第2.1款</w:t>
            </w:r>
          </w:p>
        </w:tc>
        <w:tc>
          <w:tcPr>
            <w:tcW w:w="1661" w:type="dxa"/>
            <w:vAlign w:val="center"/>
          </w:tcPr>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采购人</w:t>
            </w:r>
          </w:p>
        </w:tc>
        <w:tc>
          <w:tcPr>
            <w:tcW w:w="6038" w:type="dxa"/>
            <w:vAlign w:val="center"/>
          </w:tcPr>
          <w:p>
            <w:pPr>
              <w:pageBreakBefore w:val="0"/>
              <w:kinsoku/>
              <w:wordWrap/>
              <w:overflowPunct/>
              <w:bidi w:val="0"/>
              <w:adjustRightInd w:val="0"/>
              <w:snapToGrid w:val="0"/>
              <w:spacing w:line="440" w:lineRule="exact"/>
              <w:rPr>
                <w:rFonts w:asciiTheme="minorEastAsia" w:hAnsiTheme="minorEastAsia" w:eastAsiaTheme="minorEastAsia" w:cstheme="minorEastAsia"/>
                <w:szCs w:val="21"/>
              </w:rPr>
            </w:pPr>
            <w:r>
              <w:rPr>
                <w:rFonts w:hint="eastAsia" w:ascii="宋体" w:hAnsi="宋体"/>
              </w:rPr>
              <w:t>名  称：</w:t>
            </w:r>
            <w:r>
              <w:rPr>
                <w:rFonts w:hint="eastAsia" w:ascii="宋体" w:hAnsi="宋体"/>
                <w:lang w:eastAsia="zh-CN"/>
              </w:rPr>
              <w:t>湖南省科技厅</w:t>
            </w:r>
            <w:r>
              <w:rPr>
                <w:rFonts w:hint="eastAsia" w:asciiTheme="minorEastAsia" w:hAnsiTheme="minorEastAsia" w:eastAsiaTheme="minorEastAsia" w:cstheme="minorEastAsia"/>
                <w:szCs w:val="21"/>
              </w:rPr>
              <w:t xml:space="preserve"> </w:t>
            </w:r>
          </w:p>
          <w:p>
            <w:pPr>
              <w:pageBreakBefore w:val="0"/>
              <w:kinsoku/>
              <w:wordWrap/>
              <w:overflowPunct/>
              <w:bidi w:val="0"/>
              <w:adjustRightInd w:val="0"/>
              <w:snapToGrid w:val="0"/>
              <w:spacing w:line="440" w:lineRule="exact"/>
            </w:pPr>
            <w:r>
              <w:rPr>
                <w:rFonts w:hint="eastAsia"/>
              </w:rPr>
              <w:t>地  址：</w:t>
            </w:r>
            <w:r>
              <w:rPr>
                <w:rFonts w:hint="eastAsia" w:asciiTheme="minorEastAsia" w:hAnsiTheme="minorEastAsia" w:eastAsiaTheme="minorEastAsia" w:cstheme="minorEastAsia"/>
                <w:color w:val="000000" w:themeColor="text1"/>
                <w:szCs w:val="21"/>
                <w14:textFill>
                  <w14:solidFill>
                    <w14:schemeClr w14:val="tx1"/>
                  </w14:solidFill>
                </w14:textFill>
              </w:rPr>
              <w:t>湖南省长沙市岳麓大道233号</w:t>
            </w:r>
          </w:p>
          <w:p>
            <w:pPr>
              <w:pageBreakBefore w:val="0"/>
              <w:kinsoku/>
              <w:wordWrap/>
              <w:overflowPunct/>
              <w:bidi w:val="0"/>
              <w:adjustRightInd w:val="0"/>
              <w:snapToGrid w:val="0"/>
              <w:spacing w:line="440" w:lineRule="exact"/>
              <w:rPr>
                <w:rFonts w:hint="eastAsia" w:asciiTheme="minorEastAsia" w:hAnsiTheme="minorEastAsia" w:eastAsiaTheme="minorEastAsia" w:cstheme="minorEastAsia"/>
                <w:color w:val="auto"/>
                <w:szCs w:val="21"/>
                <w:lang w:val="en-US" w:eastAsia="zh-CN"/>
              </w:rPr>
            </w:pPr>
            <w:r>
              <w:rPr>
                <w:rFonts w:hint="eastAsia" w:ascii="宋体" w:hAnsi="宋体"/>
                <w:color w:val="auto"/>
              </w:rPr>
              <w:t>联系人：</w:t>
            </w:r>
            <w:r>
              <w:rPr>
                <w:rFonts w:hint="eastAsia" w:asciiTheme="minorEastAsia" w:hAnsiTheme="minorEastAsia" w:eastAsiaTheme="minorEastAsia" w:cstheme="minorEastAsia"/>
                <w:color w:val="auto"/>
                <w:szCs w:val="21"/>
                <w:lang w:val="en-US" w:eastAsia="zh-CN"/>
              </w:rPr>
              <w:t>杨唯希</w:t>
            </w:r>
          </w:p>
          <w:p>
            <w:pPr>
              <w:pageBreakBefore w:val="0"/>
              <w:kinsoku/>
              <w:wordWrap/>
              <w:overflowPunct/>
              <w:bidi w:val="0"/>
              <w:adjustRightInd w:val="0"/>
              <w:snapToGrid w:val="0"/>
              <w:spacing w:line="440" w:lineRule="exact"/>
            </w:pPr>
            <w:r>
              <w:rPr>
                <w:rFonts w:hint="eastAsia" w:asciiTheme="minorEastAsia" w:hAnsiTheme="minorEastAsia" w:eastAsiaTheme="minorEastAsia" w:cstheme="minorEastAsia"/>
                <w:color w:val="auto"/>
                <w:szCs w:val="21"/>
                <w:lang w:val="en-US" w:eastAsia="zh-CN"/>
              </w:rPr>
              <w:t>电  话：0731-88988666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第2.2款</w:t>
            </w:r>
          </w:p>
        </w:tc>
        <w:tc>
          <w:tcPr>
            <w:tcW w:w="1661" w:type="dxa"/>
            <w:vAlign w:val="center"/>
          </w:tcPr>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采购代理机构</w:t>
            </w:r>
          </w:p>
        </w:tc>
        <w:tc>
          <w:tcPr>
            <w:tcW w:w="6038" w:type="dxa"/>
            <w:vAlign w:val="center"/>
          </w:tcPr>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名  称：湖南建衡达工程咨询有限公司</w:t>
            </w:r>
          </w:p>
          <w:p>
            <w:pPr>
              <w:pageBreakBefore w:val="0"/>
              <w:kinsoku/>
              <w:wordWrap/>
              <w:overflowPunct/>
              <w:bidi w:val="0"/>
              <w:adjustRightInd w:val="0"/>
              <w:snapToGrid w:val="0"/>
              <w:spacing w:line="440" w:lineRule="exact"/>
              <w:rPr>
                <w:rFonts w:ascii="宋体" w:hAnsi="宋体"/>
              </w:rPr>
            </w:pPr>
            <w:r>
              <w:rPr>
                <w:rFonts w:hint="eastAsia" w:ascii="宋体" w:hAnsi="宋体"/>
              </w:rPr>
              <w:t>地  址：</w:t>
            </w:r>
            <w:r>
              <w:rPr>
                <w:rFonts w:hint="eastAsia" w:ascii="宋体" w:hAnsi="宋体" w:cs="宋体"/>
                <w:color w:val="000000"/>
                <w:shd w:val="clear" w:color="auto" w:fill="FFFFFF"/>
              </w:rPr>
              <w:t>长沙市雨花区美林路35号华雅花园1栋32楼</w:t>
            </w:r>
          </w:p>
          <w:p>
            <w:pPr>
              <w:pageBreakBefore w:val="0"/>
              <w:kinsoku/>
              <w:wordWrap/>
              <w:overflowPunct/>
              <w:bidi w:val="0"/>
              <w:adjustRightInd w:val="0"/>
              <w:snapToGrid w:val="0"/>
              <w:spacing w:line="440" w:lineRule="exact"/>
              <w:rPr>
                <w:rFonts w:ascii="宋体" w:hAnsi="宋体"/>
              </w:rPr>
            </w:pPr>
            <w:r>
              <w:rPr>
                <w:rFonts w:hint="eastAsia" w:ascii="宋体" w:hAnsi="宋体"/>
              </w:rPr>
              <w:t>联系人：</w:t>
            </w:r>
            <w:r>
              <w:rPr>
                <w:rFonts w:hint="eastAsia" w:asciiTheme="minorEastAsia" w:hAnsiTheme="minorEastAsia" w:eastAsiaTheme="minorEastAsia" w:cstheme="minorEastAsia"/>
                <w:szCs w:val="21"/>
                <w:lang w:val="en-US" w:eastAsia="zh-CN"/>
              </w:rPr>
              <w:t>林贤鹏</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徐闻泽</w:t>
            </w:r>
          </w:p>
          <w:p>
            <w:pPr>
              <w:pageBreakBefore w:val="0"/>
              <w:kinsoku/>
              <w:wordWrap/>
              <w:overflowPunct/>
              <w:bidi w:val="0"/>
              <w:adjustRightInd w:val="0"/>
              <w:snapToGrid w:val="0"/>
              <w:spacing w:line="440" w:lineRule="exact"/>
              <w:rPr>
                <w:rFonts w:ascii="宋体" w:hAnsi="宋体"/>
                <w:b/>
                <w:sz w:val="24"/>
              </w:rPr>
            </w:pPr>
            <w:r>
              <w:rPr>
                <w:rFonts w:hint="eastAsia" w:ascii="宋体" w:hAnsi="宋体"/>
              </w:rPr>
              <w:t>电  话：</w:t>
            </w:r>
            <w:r>
              <w:rPr>
                <w:rFonts w:hint="eastAsia" w:ascii="宋体" w:hAnsi="宋体" w:cs="宋体"/>
                <w:color w:val="000000"/>
                <w:shd w:val="clear" w:color="auto" w:fill="FFFFFF"/>
              </w:rPr>
              <w:t>0731-85410131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第2.3款</w:t>
            </w:r>
          </w:p>
        </w:tc>
        <w:tc>
          <w:tcPr>
            <w:tcW w:w="1661" w:type="dxa"/>
            <w:vAlign w:val="center"/>
          </w:tcPr>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cs="宋体"/>
                <w:kern w:val="0"/>
                <w:szCs w:val="21"/>
              </w:rPr>
              <w:t>供应商的</w:t>
            </w:r>
            <w:r>
              <w:rPr>
                <w:rFonts w:hint="eastAsia" w:ascii="宋体" w:hAnsi="宋体"/>
                <w:szCs w:val="21"/>
              </w:rPr>
              <w:t>邀请方式</w:t>
            </w:r>
          </w:p>
        </w:tc>
        <w:tc>
          <w:tcPr>
            <w:tcW w:w="6038" w:type="dxa"/>
            <w:vAlign w:val="center"/>
          </w:tcPr>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  （1）发布公告</w:t>
            </w:r>
          </w:p>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  （2）从省级以上财政部门建立的供应商库中随机抽取</w:t>
            </w:r>
          </w:p>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  （3）采购人和评审专家分别书面推荐的方式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第3.1款</w:t>
            </w:r>
          </w:p>
        </w:tc>
        <w:tc>
          <w:tcPr>
            <w:tcW w:w="1661"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bCs/>
                <w:szCs w:val="21"/>
              </w:rPr>
              <w:t>供应商</w:t>
            </w:r>
            <w:r>
              <w:rPr>
                <w:rFonts w:hint="eastAsia" w:ascii="宋体" w:hAnsi="宋体"/>
                <w:szCs w:val="21"/>
              </w:rPr>
              <w:t>资格</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条件</w:t>
            </w:r>
          </w:p>
        </w:tc>
        <w:tc>
          <w:tcPr>
            <w:tcW w:w="6038" w:type="dxa"/>
            <w:vAlign w:val="center"/>
          </w:tcPr>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具体详见本磋商文件第一章“供应商的资格要求”。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第6.1款</w:t>
            </w:r>
          </w:p>
        </w:tc>
        <w:tc>
          <w:tcPr>
            <w:tcW w:w="1661" w:type="dxa"/>
            <w:vAlign w:val="center"/>
          </w:tcPr>
          <w:p>
            <w:pPr>
              <w:pageBreakBefore w:val="0"/>
              <w:kinsoku/>
              <w:wordWrap/>
              <w:overflowPunct/>
              <w:bidi w:val="0"/>
              <w:adjustRightInd w:val="0"/>
              <w:snapToGrid w:val="0"/>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联合体形式</w:t>
            </w:r>
          </w:p>
        </w:tc>
        <w:tc>
          <w:tcPr>
            <w:tcW w:w="6038" w:type="dxa"/>
            <w:vAlign w:val="center"/>
          </w:tcPr>
          <w:p>
            <w:pPr>
              <w:pageBreakBefore w:val="0"/>
              <w:kinsoku/>
              <w:wordWrap/>
              <w:overflowPunct/>
              <w:bidi w:val="0"/>
              <w:adjustRightInd w:val="0"/>
              <w:snapToGrid w:val="0"/>
              <w:spacing w:line="440" w:lineRule="exact"/>
              <w:rPr>
                <w:rFonts w:ascii="宋体" w:hAnsi="宋体"/>
                <w:color w:val="000000" w:themeColor="text1"/>
                <w:szCs w:val="21"/>
                <w14:textFill>
                  <w14:solidFill>
                    <w14:schemeClr w14:val="tx1"/>
                  </w14:solidFill>
                </w14:textFill>
              </w:rPr>
            </w:pPr>
            <w:r>
              <w:rPr>
                <w:rFonts w:hint="eastAsia" w:ascii="宋体" w:hAnsi="宋体"/>
                <w:szCs w:val="21"/>
              </w:rPr>
              <w:t xml:space="preserve">☑ </w:t>
            </w:r>
            <w:r>
              <w:rPr>
                <w:rFonts w:hint="eastAsia" w:ascii="宋体" w:hAnsi="宋体"/>
                <w:color w:val="000000" w:themeColor="text1"/>
                <w:szCs w:val="21"/>
                <w14:textFill>
                  <w14:solidFill>
                    <w14:schemeClr w14:val="tx1"/>
                  </w14:solidFill>
                </w14:textFill>
              </w:rPr>
              <w:t>不接受</w:t>
            </w:r>
          </w:p>
          <w:p>
            <w:pPr>
              <w:pageBreakBefore w:val="0"/>
              <w:kinsoku/>
              <w:wordWrap/>
              <w:overflowPunct/>
              <w:bidi w:val="0"/>
              <w:adjustRightInd w:val="0"/>
              <w:snapToGrid w:val="0"/>
              <w:spacing w:line="440" w:lineRule="exact"/>
              <w:rPr>
                <w:rFonts w:ascii="宋体" w:hAnsi="宋体"/>
                <w:color w:val="000000" w:themeColor="text1"/>
                <w:szCs w:val="21"/>
                <w14:textFill>
                  <w14:solidFill>
                    <w14:schemeClr w14:val="tx1"/>
                  </w14:solidFill>
                </w14:textFill>
              </w:rPr>
            </w:pPr>
            <w:r>
              <w:rPr>
                <w:rFonts w:hint="eastAsia" w:ascii="宋体" w:hAnsi="宋体"/>
                <w:szCs w:val="21"/>
              </w:rPr>
              <w:t xml:space="preserve">□ </w:t>
            </w:r>
            <w:r>
              <w:rPr>
                <w:rFonts w:hint="eastAsia" w:ascii="宋体" w:hAnsi="宋体"/>
                <w:color w:val="000000" w:themeColor="text1"/>
                <w:szCs w:val="21"/>
                <w14:textFill>
                  <w14:solidFill>
                    <w14:schemeClr w14:val="tx1"/>
                  </w14:solidFill>
                </w14:textFill>
              </w:rPr>
              <w:t xml:space="preserve"> 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第6.2（3）款</w:t>
            </w:r>
          </w:p>
        </w:tc>
        <w:tc>
          <w:tcPr>
            <w:tcW w:w="1661"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对联合体各方的要求</w:t>
            </w:r>
          </w:p>
        </w:tc>
        <w:tc>
          <w:tcPr>
            <w:tcW w:w="6038" w:type="dxa"/>
            <w:vAlign w:val="center"/>
          </w:tcPr>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第7.1款</w:t>
            </w:r>
          </w:p>
        </w:tc>
        <w:tc>
          <w:tcPr>
            <w:tcW w:w="1661" w:type="dxa"/>
            <w:vAlign w:val="center"/>
          </w:tcPr>
          <w:p>
            <w:pPr>
              <w:pageBreakBefore w:val="0"/>
              <w:kinsoku/>
              <w:wordWrap/>
              <w:overflowPunct/>
              <w:bidi w:val="0"/>
              <w:adjustRightInd w:val="0"/>
              <w:snapToGrid w:val="0"/>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现场勘察</w:t>
            </w:r>
          </w:p>
        </w:tc>
        <w:tc>
          <w:tcPr>
            <w:tcW w:w="6038" w:type="dxa"/>
            <w:vAlign w:val="center"/>
          </w:tcPr>
          <w:p>
            <w:pPr>
              <w:pageBreakBefore w:val="0"/>
              <w:kinsoku/>
              <w:wordWrap/>
              <w:overflowPunct/>
              <w:bidi w:val="0"/>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szCs w:val="21"/>
              </w:rPr>
              <w:t>☑</w:t>
            </w:r>
            <w:r>
              <w:rPr>
                <w:rFonts w:hint="eastAsia" w:ascii="宋体" w:hAnsi="宋体"/>
                <w:color w:val="000000" w:themeColor="text1"/>
                <w:szCs w:val="21"/>
                <w14:textFill>
                  <w14:solidFill>
                    <w14:schemeClr w14:val="tx1"/>
                  </w14:solidFill>
                </w14:textFill>
              </w:rPr>
              <w:t>采购人不组织</w:t>
            </w:r>
          </w:p>
          <w:p>
            <w:pPr>
              <w:pageBreakBefore w:val="0"/>
              <w:kinsoku/>
              <w:wordWrap/>
              <w:overflowPunct/>
              <w:bidi w:val="0"/>
              <w:adjustRightInd w:val="0"/>
              <w:snapToGrid w:val="0"/>
              <w:spacing w:line="440" w:lineRule="exact"/>
              <w:rPr>
                <w:color w:val="000000" w:themeColor="text1"/>
                <w:u w:val="single"/>
                <w14:textFill>
                  <w14:solidFill>
                    <w14:schemeClr w14:val="tx1"/>
                  </w14:solidFill>
                </w14:textFill>
              </w:rPr>
            </w:pPr>
            <w:r>
              <w:rPr>
                <w:rFonts w:hint="eastAsia" w:ascii="宋体" w:hAnsi="宋体"/>
                <w:szCs w:val="21"/>
              </w:rPr>
              <w:t xml:space="preserve">□ </w:t>
            </w:r>
            <w:r>
              <w:rPr>
                <w:rFonts w:hint="eastAsia" w:ascii="宋体" w:hAnsi="宋体"/>
                <w:color w:val="000000" w:themeColor="text1"/>
                <w:szCs w:val="21"/>
                <w14:textFill>
                  <w14:solidFill>
                    <w14:schemeClr w14:val="tx1"/>
                  </w14:solidFill>
                </w14:textFill>
              </w:rPr>
              <w:t>采购人组织</w:t>
            </w:r>
            <w:r>
              <w:rPr>
                <w:rFonts w:hint="eastAsia" w:ascii="宋体" w:hAnsi="宋体"/>
                <w:color w:val="000000" w:themeColor="text1"/>
                <w14:textFill>
                  <w14:solidFill>
                    <w14:schemeClr w14:val="tx1"/>
                  </w14:solidFill>
                </w14:textFill>
              </w:rPr>
              <w:t>，时间：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地点：</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联系人：</w:t>
            </w:r>
            <w:r>
              <w:rPr>
                <w:rFonts w:hint="eastAsia" w:ascii="宋体" w:hAnsi="宋体"/>
                <w:color w:val="000000" w:themeColor="text1"/>
                <w:u w:val="single"/>
                <w14:textFill>
                  <w14:solidFill>
                    <w14:schemeClr w14:val="tx1"/>
                  </w14:solidFill>
                </w14:textFill>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snapToGrid w:val="0"/>
              <w:spacing w:line="440" w:lineRule="exact"/>
              <w:jc w:val="center"/>
              <w:textAlignment w:val="baseline"/>
              <w:rPr>
                <w:rStyle w:val="60"/>
                <w:rFonts w:ascii="宋体" w:hAnsi="宋体"/>
                <w:szCs w:val="21"/>
              </w:rPr>
            </w:pPr>
            <w:r>
              <w:rPr>
                <w:rStyle w:val="60"/>
                <w:rFonts w:ascii="宋体" w:hAnsi="宋体"/>
                <w:szCs w:val="21"/>
              </w:rPr>
              <w:t>第二章</w:t>
            </w:r>
          </w:p>
          <w:p>
            <w:pPr>
              <w:pageBreakBefore w:val="0"/>
              <w:kinsoku/>
              <w:wordWrap/>
              <w:overflowPunct/>
              <w:bidi w:val="0"/>
              <w:snapToGrid w:val="0"/>
              <w:spacing w:line="440" w:lineRule="exact"/>
              <w:jc w:val="center"/>
              <w:textAlignment w:val="baseline"/>
              <w:rPr>
                <w:rFonts w:ascii="宋体" w:hAnsi="宋体"/>
                <w:szCs w:val="21"/>
              </w:rPr>
            </w:pPr>
            <w:r>
              <w:rPr>
                <w:rStyle w:val="60"/>
                <w:rFonts w:ascii="宋体" w:hAnsi="宋体"/>
                <w:szCs w:val="21"/>
              </w:rPr>
              <w:t>第8.1款</w:t>
            </w:r>
          </w:p>
        </w:tc>
        <w:tc>
          <w:tcPr>
            <w:tcW w:w="1661" w:type="dxa"/>
            <w:vAlign w:val="center"/>
          </w:tcPr>
          <w:p>
            <w:pPr>
              <w:pageBreakBefore w:val="0"/>
              <w:kinsoku/>
              <w:wordWrap/>
              <w:overflowPunct/>
              <w:bidi w:val="0"/>
              <w:snapToGrid w:val="0"/>
              <w:spacing w:line="440" w:lineRule="exact"/>
              <w:textAlignment w:val="baseline"/>
              <w:rPr>
                <w:rFonts w:ascii="宋体" w:hAnsi="宋体"/>
                <w:szCs w:val="21"/>
              </w:rPr>
            </w:pPr>
            <w:r>
              <w:rPr>
                <w:rStyle w:val="60"/>
                <w:rFonts w:ascii="宋体" w:hAnsi="宋体"/>
                <w:szCs w:val="21"/>
              </w:rPr>
              <w:t>采购进口产品</w:t>
            </w:r>
          </w:p>
        </w:tc>
        <w:tc>
          <w:tcPr>
            <w:tcW w:w="6038" w:type="dxa"/>
            <w:vAlign w:val="center"/>
          </w:tcPr>
          <w:p>
            <w:pPr>
              <w:pageBreakBefore w:val="0"/>
              <w:kinsoku/>
              <w:wordWrap/>
              <w:overflowPunct/>
              <w:bidi w:val="0"/>
              <w:snapToGrid w:val="0"/>
              <w:spacing w:line="440" w:lineRule="exact"/>
              <w:textAlignment w:val="baseline"/>
              <w:rPr>
                <w:rStyle w:val="60"/>
                <w:rFonts w:ascii="宋体" w:hAnsi="宋体"/>
                <w:szCs w:val="21"/>
              </w:rPr>
            </w:pPr>
            <w:r>
              <w:rPr>
                <w:rFonts w:hint="eastAsia" w:ascii="宋体" w:hAnsi="宋体"/>
                <w:szCs w:val="21"/>
              </w:rPr>
              <w:t>☑</w:t>
            </w:r>
            <w:r>
              <w:rPr>
                <w:rStyle w:val="60"/>
                <w:rFonts w:ascii="宋体" w:hAnsi="宋体"/>
                <w:szCs w:val="21"/>
              </w:rPr>
              <w:t>本项目拒绝采购进口产品</w:t>
            </w:r>
          </w:p>
          <w:p>
            <w:pPr>
              <w:pageBreakBefore w:val="0"/>
              <w:kinsoku/>
              <w:wordWrap/>
              <w:overflowPunct/>
              <w:bidi w:val="0"/>
              <w:snapToGrid w:val="0"/>
              <w:spacing w:line="440" w:lineRule="exact"/>
              <w:textAlignment w:val="baseline"/>
              <w:rPr>
                <w:rFonts w:ascii="宋体" w:hAnsi="宋体"/>
                <w:szCs w:val="21"/>
              </w:rPr>
            </w:pPr>
            <w:r>
              <w:rPr>
                <w:rFonts w:hint="eastAsia" w:ascii="宋体" w:hAnsi="宋体"/>
                <w:szCs w:val="21"/>
              </w:rPr>
              <w:t xml:space="preserve">□ </w:t>
            </w:r>
            <w:r>
              <w:rPr>
                <w:rStyle w:val="60"/>
                <w:rFonts w:ascii="宋体" w:hAnsi="宋体"/>
                <w:szCs w:val="21"/>
              </w:rPr>
              <w:t>本项目已经财政部门审核同意购买进口产品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228" w:type="dxa"/>
            <w:gridSpan w:val="3"/>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hAnsi="宋体"/>
                <w:b/>
                <w:sz w:val="24"/>
              </w:rPr>
              <w:t>二、磋商文件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第10.2款</w:t>
            </w:r>
          </w:p>
        </w:tc>
        <w:tc>
          <w:tcPr>
            <w:tcW w:w="1661" w:type="dxa"/>
            <w:vAlign w:val="center"/>
          </w:tcPr>
          <w:p>
            <w:pPr>
              <w:pageBreakBefore w:val="0"/>
              <w:kinsoku/>
              <w:wordWrap/>
              <w:overflowPunct/>
              <w:bidi w:val="0"/>
              <w:adjustRightInd w:val="0"/>
              <w:snapToGrid w:val="0"/>
              <w:spacing w:line="440" w:lineRule="exact"/>
              <w:jc w:val="center"/>
              <w:rPr>
                <w:rFonts w:ascii="宋体" w:hAnsi="宋体"/>
                <w:color w:val="auto"/>
                <w:szCs w:val="21"/>
              </w:rPr>
            </w:pPr>
            <w:r>
              <w:rPr>
                <w:rFonts w:hint="eastAsia" w:ascii="宋体" w:hAnsi="宋体"/>
                <w:color w:val="auto"/>
                <w:szCs w:val="21"/>
              </w:rPr>
              <w:t>磋商文件的可能实质性变动内容</w:t>
            </w:r>
          </w:p>
        </w:tc>
        <w:tc>
          <w:tcPr>
            <w:tcW w:w="6038" w:type="dxa"/>
            <w:vAlign w:val="center"/>
          </w:tcPr>
          <w:p>
            <w:pPr>
              <w:pageBreakBefore w:val="0"/>
              <w:widowControl/>
              <w:kinsoku/>
              <w:wordWrap/>
              <w:overflowPunct/>
              <w:bidi w:val="0"/>
              <w:spacing w:line="440" w:lineRule="exact"/>
              <w:jc w:val="left"/>
              <w:rPr>
                <w:i/>
                <w:color w:val="auto"/>
                <w:szCs w:val="21"/>
              </w:rPr>
            </w:pPr>
            <w:r>
              <w:rPr>
                <w:rFonts w:hint="eastAsia" w:ascii="宋体" w:hAnsi="宋体" w:cs="宋体"/>
                <w:b/>
                <w:iCs/>
                <w:color w:val="auto"/>
                <w:szCs w:val="21"/>
              </w:rPr>
              <w:t>技术、服务要求以及合同条款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第11.1款</w:t>
            </w:r>
          </w:p>
        </w:tc>
        <w:tc>
          <w:tcPr>
            <w:tcW w:w="1661" w:type="dxa"/>
            <w:vAlign w:val="center"/>
          </w:tcPr>
          <w:p>
            <w:pPr>
              <w:pageBreakBefore w:val="0"/>
              <w:kinsoku/>
              <w:wordWrap/>
              <w:overflowPunct/>
              <w:bidi w:val="0"/>
              <w:adjustRightInd w:val="0"/>
              <w:snapToGrid w:val="0"/>
              <w:spacing w:line="440" w:lineRule="exact"/>
              <w:jc w:val="center"/>
              <w:rPr>
                <w:rFonts w:ascii="宋体" w:hAnsi="宋体"/>
                <w:color w:val="auto"/>
                <w:szCs w:val="21"/>
              </w:rPr>
            </w:pPr>
            <w:r>
              <w:rPr>
                <w:rFonts w:hint="eastAsia" w:ascii="宋体" w:hAnsi="宋体"/>
                <w:color w:val="auto"/>
                <w:szCs w:val="21"/>
              </w:rPr>
              <w:t>磋商文件的发售期限</w:t>
            </w:r>
          </w:p>
        </w:tc>
        <w:tc>
          <w:tcPr>
            <w:tcW w:w="6038" w:type="dxa"/>
            <w:vAlign w:val="center"/>
          </w:tcPr>
          <w:p>
            <w:pPr>
              <w:pageBreakBefore w:val="0"/>
              <w:kinsoku/>
              <w:wordWrap/>
              <w:overflowPunct/>
              <w:bidi w:val="0"/>
              <w:adjustRightInd w:val="0"/>
              <w:snapToGrid w:val="0"/>
              <w:spacing w:before="48" w:beforeLines="20" w:after="48" w:afterLines="20" w:line="440" w:lineRule="exact"/>
              <w:jc w:val="left"/>
              <w:rPr>
                <w:rFonts w:ascii="宋体" w:hAnsi="宋体"/>
                <w:color w:val="auto"/>
                <w:szCs w:val="21"/>
                <w:u w:val="single"/>
              </w:rPr>
            </w:pPr>
            <w:r>
              <w:rPr>
                <w:rFonts w:hint="eastAsia" w:ascii="宋体" w:hAnsi="宋体" w:cs="宋体"/>
                <w:color w:val="auto"/>
                <w:kern w:val="0"/>
                <w:szCs w:val="21"/>
                <w:u w:val="single"/>
                <w:shd w:val="clear" w:color="auto" w:fill="FFFFFF"/>
              </w:rPr>
              <w:t>2023</w:t>
            </w:r>
            <w:r>
              <w:rPr>
                <w:rFonts w:hint="eastAsia" w:ascii="宋体" w:hAnsi="宋体" w:cs="宋体"/>
                <w:color w:val="auto"/>
                <w:kern w:val="0"/>
                <w:szCs w:val="21"/>
                <w:shd w:val="clear" w:color="auto" w:fill="FFFFFF"/>
              </w:rPr>
              <w:t>年</w:t>
            </w:r>
            <w:r>
              <w:rPr>
                <w:rFonts w:hint="eastAsia" w:ascii="宋体" w:hAnsi="宋体" w:cs="宋体"/>
                <w:color w:val="auto"/>
                <w:kern w:val="0"/>
                <w:szCs w:val="21"/>
                <w:u w:val="single"/>
                <w:shd w:val="clear" w:color="auto" w:fill="FFFFFF"/>
                <w:lang w:val="en-US" w:eastAsia="zh-CN"/>
              </w:rPr>
              <w:t xml:space="preserve"> 07 </w:t>
            </w:r>
            <w:r>
              <w:rPr>
                <w:rFonts w:hint="eastAsia" w:ascii="宋体" w:hAnsi="宋体" w:cs="宋体"/>
                <w:color w:val="auto"/>
                <w:kern w:val="0"/>
                <w:szCs w:val="21"/>
                <w:shd w:val="clear" w:color="auto" w:fill="FFFFFF"/>
              </w:rPr>
              <w:t>月</w:t>
            </w:r>
            <w:r>
              <w:rPr>
                <w:rFonts w:hint="eastAsia" w:ascii="宋体" w:hAnsi="宋体" w:cs="宋体"/>
                <w:color w:val="auto"/>
                <w:kern w:val="0"/>
                <w:szCs w:val="21"/>
                <w:u w:val="single"/>
                <w:shd w:val="clear" w:color="auto" w:fill="FFFFFF"/>
                <w:lang w:val="en-US" w:eastAsia="zh-CN"/>
              </w:rPr>
              <w:t xml:space="preserve"> 31 </w:t>
            </w:r>
            <w:r>
              <w:rPr>
                <w:rFonts w:hint="eastAsia" w:ascii="宋体" w:hAnsi="宋体" w:cs="宋体"/>
                <w:color w:val="auto"/>
                <w:kern w:val="0"/>
                <w:szCs w:val="21"/>
                <w:shd w:val="clear" w:color="auto" w:fill="FFFFFF"/>
              </w:rPr>
              <w:t>日至</w:t>
            </w:r>
            <w:r>
              <w:rPr>
                <w:rFonts w:hint="eastAsia" w:ascii="宋体" w:hAnsi="宋体" w:cs="宋体"/>
                <w:color w:val="auto"/>
                <w:kern w:val="0"/>
                <w:szCs w:val="21"/>
                <w:u w:val="single"/>
                <w:shd w:val="clear" w:color="auto" w:fill="FFFFFF"/>
              </w:rPr>
              <w:t>2023</w:t>
            </w:r>
            <w:r>
              <w:rPr>
                <w:rFonts w:hint="eastAsia" w:ascii="宋体" w:hAnsi="宋体" w:cs="宋体"/>
                <w:color w:val="auto"/>
                <w:kern w:val="0"/>
                <w:szCs w:val="21"/>
                <w:shd w:val="clear" w:color="auto" w:fill="FFFFFF"/>
              </w:rPr>
              <w:t>年</w:t>
            </w:r>
            <w:r>
              <w:rPr>
                <w:rFonts w:hint="eastAsia" w:ascii="宋体" w:hAnsi="宋体" w:cs="宋体"/>
                <w:color w:val="auto"/>
                <w:kern w:val="0"/>
                <w:szCs w:val="21"/>
                <w:u w:val="single"/>
                <w:shd w:val="clear" w:color="auto" w:fill="FFFFFF"/>
                <w:lang w:val="en-US" w:eastAsia="zh-CN"/>
              </w:rPr>
              <w:t xml:space="preserve"> 08 </w:t>
            </w:r>
            <w:r>
              <w:rPr>
                <w:rFonts w:hint="eastAsia" w:ascii="宋体" w:hAnsi="宋体" w:cs="宋体"/>
                <w:color w:val="auto"/>
                <w:kern w:val="0"/>
                <w:szCs w:val="21"/>
                <w:shd w:val="clear" w:color="auto" w:fill="FFFFFF"/>
              </w:rPr>
              <w:t>月</w:t>
            </w:r>
            <w:r>
              <w:rPr>
                <w:rFonts w:hint="eastAsia" w:ascii="宋体" w:hAnsi="宋体" w:cs="宋体"/>
                <w:color w:val="auto"/>
                <w:kern w:val="0"/>
                <w:szCs w:val="21"/>
                <w:u w:val="single"/>
                <w:shd w:val="clear" w:color="auto" w:fill="FFFFFF"/>
                <w:lang w:val="en-US" w:eastAsia="zh-CN"/>
              </w:rPr>
              <w:t xml:space="preserve"> 07 </w:t>
            </w:r>
            <w:r>
              <w:rPr>
                <w:rFonts w:hint="eastAsia" w:ascii="宋体" w:hAnsi="宋体" w:cs="宋体"/>
                <w:color w:val="auto"/>
                <w:kern w:val="0"/>
                <w:szCs w:val="21"/>
                <w:shd w:val="clear" w:color="auto" w:fill="FFFFFF"/>
              </w:rPr>
              <w:t>日(节假日除外)，每日上午9:00至12:00、下午14:00至17:00（北京时间）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第11.2款</w:t>
            </w:r>
          </w:p>
        </w:tc>
        <w:tc>
          <w:tcPr>
            <w:tcW w:w="1661" w:type="dxa"/>
            <w:vAlign w:val="center"/>
          </w:tcPr>
          <w:p>
            <w:pPr>
              <w:pageBreakBefore w:val="0"/>
              <w:kinsoku/>
              <w:wordWrap/>
              <w:overflowPunct/>
              <w:bidi w:val="0"/>
              <w:adjustRightInd w:val="0"/>
              <w:snapToGrid w:val="0"/>
              <w:spacing w:line="440" w:lineRule="exact"/>
              <w:jc w:val="center"/>
              <w:rPr>
                <w:rFonts w:ascii="宋体" w:hAnsi="宋体"/>
                <w:b/>
                <w:color w:val="auto"/>
                <w:sz w:val="24"/>
              </w:rPr>
            </w:pPr>
            <w:r>
              <w:rPr>
                <w:rFonts w:hint="eastAsia" w:ascii="宋体" w:hAnsi="宋体"/>
                <w:color w:val="auto"/>
                <w:szCs w:val="21"/>
              </w:rPr>
              <w:t>领取</w:t>
            </w:r>
            <w:r>
              <w:rPr>
                <w:rFonts w:ascii="宋体" w:hAnsi="宋体"/>
                <w:color w:val="auto"/>
                <w:szCs w:val="21"/>
              </w:rPr>
              <w:t>或</w:t>
            </w:r>
            <w:r>
              <w:rPr>
                <w:rFonts w:hint="eastAsia" w:ascii="宋体" w:hAnsi="宋体"/>
                <w:color w:val="auto"/>
                <w:szCs w:val="21"/>
              </w:rPr>
              <w:t>购买磋商文件时应提供的资料</w:t>
            </w:r>
          </w:p>
        </w:tc>
        <w:tc>
          <w:tcPr>
            <w:tcW w:w="6038" w:type="dxa"/>
            <w:vAlign w:val="center"/>
          </w:tcPr>
          <w:p>
            <w:pPr>
              <w:pageBreakBefore w:val="0"/>
              <w:kinsoku/>
              <w:wordWrap/>
              <w:overflowPunct/>
              <w:bidi w:val="0"/>
              <w:adjustRightInd w:val="0"/>
              <w:snapToGrid w:val="0"/>
              <w:spacing w:before="72" w:beforeLines="30" w:after="72" w:afterLines="30" w:line="440" w:lineRule="exact"/>
              <w:jc w:val="left"/>
              <w:rPr>
                <w:rFonts w:ascii="宋体" w:hAnsi="宋体"/>
                <w:b/>
                <w:color w:val="auto"/>
                <w:sz w:val="24"/>
              </w:rPr>
            </w:pPr>
            <w:r>
              <w:rPr>
                <w:rFonts w:hint="eastAsia" w:ascii="宋体" w:hAnsi="宋体" w:cs="宋体"/>
                <w:color w:val="auto"/>
                <w:szCs w:val="21"/>
              </w:rPr>
              <w:t>持营业执照副本复印件、法定代表人身份证明或授权委托书(附法定代表人身份证明)、个人身份证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第12.1款</w:t>
            </w:r>
          </w:p>
        </w:tc>
        <w:tc>
          <w:tcPr>
            <w:tcW w:w="1661" w:type="dxa"/>
            <w:vAlign w:val="center"/>
          </w:tcPr>
          <w:p>
            <w:pPr>
              <w:pageBreakBefore w:val="0"/>
              <w:kinsoku/>
              <w:wordWrap/>
              <w:overflowPunct/>
              <w:bidi w:val="0"/>
              <w:adjustRightInd w:val="0"/>
              <w:snapToGrid w:val="0"/>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提交首次响应文件的截止时间</w:t>
            </w:r>
          </w:p>
        </w:tc>
        <w:tc>
          <w:tcPr>
            <w:tcW w:w="6038" w:type="dxa"/>
            <w:vAlign w:val="center"/>
          </w:tcPr>
          <w:p>
            <w:pPr>
              <w:pageBreakBefore w:val="0"/>
              <w:kinsoku/>
              <w:wordWrap/>
              <w:overflowPunct/>
              <w:bidi w:val="0"/>
              <w:adjustRightInd w:val="0"/>
              <w:snapToGrid w:val="0"/>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2023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lang w:val="en-US" w:eastAsia="zh-CN"/>
                <w14:textFill>
                  <w14:solidFill>
                    <w14:schemeClr w14:val="tx1"/>
                  </w14:solidFill>
                </w14:textFill>
              </w:rPr>
              <w:t xml:space="preserve"> 08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lang w:val="en-US" w:eastAsia="zh-CN"/>
                <w14:textFill>
                  <w14:solidFill>
                    <w14:schemeClr w14:val="tx1"/>
                  </w14:solidFill>
                </w14:textFill>
              </w:rPr>
              <w:t xml:space="preserve"> 15 </w:t>
            </w:r>
            <w:r>
              <w:rPr>
                <w:rFonts w:hint="eastAsia" w:ascii="宋体" w:hAnsi="宋体"/>
                <w:color w:val="000000" w:themeColor="text1"/>
                <w:szCs w:val="21"/>
                <w14:textFill>
                  <w14:solidFill>
                    <w14:schemeClr w14:val="tx1"/>
                  </w14:solidFill>
                </w14:textFill>
              </w:rPr>
              <w:t>日</w:t>
            </w:r>
            <w:r>
              <w:rPr>
                <w:rFonts w:hint="eastAsia" w:ascii="宋体" w:hAnsi="宋体"/>
                <w:color w:val="000000" w:themeColor="text1"/>
                <w:szCs w:val="21"/>
                <w:lang w:val="en-US" w:eastAsia="zh-CN"/>
                <w14:textFill>
                  <w14:solidFill>
                    <w14:schemeClr w14:val="tx1"/>
                  </w14:solidFill>
                </w14:textFill>
              </w:rPr>
              <w:t>上</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午</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 xml:space="preserve"> 09 </w:t>
            </w:r>
            <w:r>
              <w:rPr>
                <w:rFonts w:hint="eastAsia" w:asciiTheme="minorEastAsia" w:hAnsiTheme="minorEastAsia" w:eastAsiaTheme="minorEastAsia" w:cstheme="minorEastAsia"/>
                <w:color w:val="000000" w:themeColor="text1"/>
                <w:szCs w:val="21"/>
                <w14:textFill>
                  <w14:solidFill>
                    <w14:schemeClr w14:val="tx1"/>
                  </w14:solidFill>
                </w14:textFill>
              </w:rPr>
              <w:t>时</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color w:val="000000" w:themeColor="text1"/>
                <w:szCs w:val="21"/>
                <w14:textFill>
                  <w14:solidFill>
                    <w14:schemeClr w14:val="tx1"/>
                  </w14:solidFill>
                </w14:textFill>
              </w:rPr>
              <w:t>分</w:t>
            </w:r>
            <w:r>
              <w:rPr>
                <w:rFonts w:hint="eastAsia" w:ascii="宋体" w:hAnsi="宋体"/>
                <w:color w:val="000000" w:themeColor="text1"/>
                <w:szCs w:val="21"/>
                <w14:textFill>
                  <w14:solidFill>
                    <w14:schemeClr w14:val="tx1"/>
                  </w14:solidFill>
                </w14:textFill>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228" w:type="dxa"/>
            <w:gridSpan w:val="3"/>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hAnsi="宋体"/>
                <w:b/>
                <w:sz w:val="24"/>
              </w:rPr>
              <w:t>三、响应文件的编写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第16.4款</w:t>
            </w:r>
          </w:p>
        </w:tc>
        <w:tc>
          <w:tcPr>
            <w:tcW w:w="1661" w:type="dxa"/>
            <w:vAlign w:val="center"/>
          </w:tcPr>
          <w:p>
            <w:pPr>
              <w:pageBreakBefore w:val="0"/>
              <w:kinsoku/>
              <w:wordWrap/>
              <w:overflowPunct/>
              <w:bidi w:val="0"/>
              <w:adjustRightInd w:val="0"/>
              <w:snapToGrid w:val="0"/>
              <w:spacing w:line="440" w:lineRule="exact"/>
              <w:jc w:val="center"/>
              <w:rPr>
                <w:rFonts w:ascii="宋体" w:hAnsi="宋体" w:cs="宋体"/>
                <w:szCs w:val="21"/>
              </w:rPr>
            </w:pPr>
            <w:r>
              <w:rPr>
                <w:rFonts w:hint="eastAsia" w:ascii="宋体" w:hAnsi="宋体" w:cs="宋体"/>
                <w:szCs w:val="21"/>
              </w:rPr>
              <w:t>采购项目预算</w:t>
            </w:r>
          </w:p>
        </w:tc>
        <w:tc>
          <w:tcPr>
            <w:tcW w:w="6038" w:type="dxa"/>
            <w:vAlign w:val="center"/>
          </w:tcPr>
          <w:p>
            <w:pPr>
              <w:pageBreakBefore w:val="0"/>
              <w:numPr>
                <w:ilvl w:val="0"/>
                <w:numId w:val="2"/>
              </w:numPr>
              <w:kinsoku/>
              <w:wordWrap/>
              <w:overflowPunct/>
              <w:bidi w:val="0"/>
              <w:adjustRightInd w:val="0"/>
              <w:snapToGrid w:val="0"/>
              <w:spacing w:line="44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lang w:val="en-US" w:eastAsia="zh-CN"/>
              </w:rPr>
              <w:t>采购</w:t>
            </w:r>
            <w:r>
              <w:rPr>
                <w:rFonts w:hint="eastAsia" w:asciiTheme="majorEastAsia" w:hAnsiTheme="majorEastAsia" w:eastAsiaTheme="majorEastAsia" w:cstheme="majorEastAsia"/>
                <w:bCs/>
                <w:szCs w:val="21"/>
              </w:rPr>
              <w:t>预算：</w:t>
            </w:r>
            <w:r>
              <w:rPr>
                <w:rFonts w:hint="eastAsia" w:asciiTheme="majorEastAsia" w:hAnsiTheme="majorEastAsia" w:eastAsiaTheme="majorEastAsia" w:cstheme="majorEastAsia"/>
                <w:bCs/>
                <w:szCs w:val="21"/>
                <w:lang w:val="en-US" w:eastAsia="zh-CN"/>
              </w:rPr>
              <w:t>900000.00</w:t>
            </w:r>
            <w:r>
              <w:rPr>
                <w:rFonts w:hint="eastAsia" w:asciiTheme="majorEastAsia" w:hAnsiTheme="majorEastAsia" w:eastAsiaTheme="majorEastAsia" w:cstheme="majorEastAsia"/>
                <w:bCs/>
                <w:szCs w:val="21"/>
              </w:rPr>
              <w:t>元</w:t>
            </w:r>
            <w:r>
              <w:rPr>
                <w:rFonts w:hint="eastAsia" w:asciiTheme="majorEastAsia" w:hAnsiTheme="majorEastAsia" w:eastAsiaTheme="majorEastAsia" w:cstheme="majorEastAsia"/>
                <w:bCs/>
                <w:szCs w:val="21"/>
                <w:lang w:eastAsia="zh-CN"/>
              </w:rPr>
              <w:t>；</w:t>
            </w:r>
            <w:r>
              <w:rPr>
                <w:rFonts w:hint="eastAsia" w:asciiTheme="majorEastAsia" w:hAnsiTheme="majorEastAsia" w:eastAsiaTheme="majorEastAsia" w:cstheme="majorEastAsia"/>
                <w:bCs/>
                <w:szCs w:val="21"/>
                <w:lang w:val="en-US" w:eastAsia="zh-CN"/>
              </w:rPr>
              <w:t>最高限价：</w:t>
            </w:r>
            <w:r>
              <w:rPr>
                <w:rFonts w:hint="eastAsia" w:asciiTheme="minorEastAsia" w:hAnsiTheme="minorEastAsia" w:eastAsiaTheme="minorEastAsia" w:cstheme="minorEastAsia"/>
                <w:szCs w:val="21"/>
                <w:lang w:val="en-US" w:eastAsia="zh-CN"/>
              </w:rPr>
              <w:t>890530.00</w:t>
            </w:r>
            <w:r>
              <w:rPr>
                <w:rFonts w:hint="eastAsia" w:asciiTheme="majorEastAsia" w:hAnsiTheme="majorEastAsia" w:eastAsiaTheme="majorEastAsia" w:cstheme="majorEastAsia"/>
                <w:bCs/>
                <w:szCs w:val="21"/>
                <w:lang w:val="en-US" w:eastAsia="zh-CN"/>
              </w:rPr>
              <w:t>元。</w:t>
            </w:r>
          </w:p>
          <w:p>
            <w:pPr>
              <w:pageBreakBefore w:val="0"/>
              <w:kinsoku/>
              <w:wordWrap/>
              <w:overflowPunct/>
              <w:bidi w:val="0"/>
              <w:snapToGrid w:val="0"/>
              <w:spacing w:line="440" w:lineRule="exact"/>
              <w:textAlignment w:val="baseline"/>
              <w:rPr>
                <w:rFonts w:ascii="宋体" w:hAnsi="宋体" w:cs="宋体"/>
                <w:b/>
                <w:szCs w:val="21"/>
              </w:rPr>
            </w:pPr>
            <w:r>
              <w:rPr>
                <w:rFonts w:hint="eastAsia" w:asciiTheme="majorEastAsia" w:hAnsiTheme="majorEastAsia" w:eastAsiaTheme="majorEastAsia" w:cstheme="majorEastAsia"/>
                <w:bCs/>
                <w:szCs w:val="21"/>
              </w:rPr>
              <w:t>2、供应商投标报</w:t>
            </w:r>
            <w:r>
              <w:rPr>
                <w:rFonts w:hint="eastAsia" w:asciiTheme="majorEastAsia" w:hAnsiTheme="majorEastAsia" w:eastAsiaTheme="majorEastAsia" w:cstheme="majorEastAsia"/>
                <w:bCs/>
                <w:color w:val="000000" w:themeColor="text1"/>
                <w:szCs w:val="21"/>
                <w14:textFill>
                  <w14:solidFill>
                    <w14:schemeClr w14:val="tx1"/>
                  </w14:solidFill>
                </w14:textFill>
              </w:rPr>
              <w:t>价不得高于</w:t>
            </w:r>
            <w:r>
              <w:rPr>
                <w:rFonts w:hint="eastAsia" w:asciiTheme="majorEastAsia" w:hAnsiTheme="majorEastAsia" w:eastAsiaTheme="majorEastAsia" w:cstheme="majorEastAsia"/>
                <w:bCs/>
                <w:color w:val="000000" w:themeColor="text1"/>
                <w:szCs w:val="21"/>
                <w:lang w:val="en-US" w:eastAsia="zh-CN"/>
                <w14:textFill>
                  <w14:solidFill>
                    <w14:schemeClr w14:val="tx1"/>
                  </w14:solidFill>
                </w14:textFill>
              </w:rPr>
              <w:t>最高限价</w:t>
            </w:r>
            <w:r>
              <w:rPr>
                <w:rFonts w:hint="eastAsia" w:asciiTheme="majorEastAsia" w:hAnsiTheme="majorEastAsia" w:eastAsiaTheme="majorEastAsia" w:cstheme="majorEastAsia"/>
                <w:bCs/>
                <w:szCs w:val="21"/>
              </w:rPr>
              <w:t>，否则在评标时将视为无效投标。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第19.1款</w:t>
            </w:r>
          </w:p>
        </w:tc>
        <w:tc>
          <w:tcPr>
            <w:tcW w:w="1661" w:type="dxa"/>
            <w:vAlign w:val="center"/>
          </w:tcPr>
          <w:p>
            <w:pPr>
              <w:pageBreakBefore w:val="0"/>
              <w:kinsoku/>
              <w:wordWrap/>
              <w:overflowPunct/>
              <w:bidi w:val="0"/>
              <w:adjustRightInd w:val="0"/>
              <w:snapToGrid w:val="0"/>
              <w:spacing w:line="440" w:lineRule="exact"/>
              <w:ind w:left="-533" w:leftChars="-254" w:firstLine="533" w:firstLineChars="254"/>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磋商保证金</w:t>
            </w:r>
          </w:p>
        </w:tc>
        <w:tc>
          <w:tcPr>
            <w:tcW w:w="6038" w:type="dxa"/>
            <w:vAlign w:val="center"/>
          </w:tcPr>
          <w:p>
            <w:pPr>
              <w:pageBreakBefore w:val="0"/>
              <w:kinsoku/>
              <w:wordWrap/>
              <w:overflowPunct/>
              <w:bidi w:val="0"/>
              <w:adjustRightInd w:val="0"/>
              <w:snapToGrid w:val="0"/>
              <w:spacing w:before="72" w:beforeLines="30" w:line="440" w:lineRule="exact"/>
              <w:rPr>
                <w:rFonts w:ascii="宋体" w:hAnsi="宋体"/>
                <w:color w:val="000000" w:themeColor="text1"/>
                <w:szCs w:val="21"/>
                <w14:textFill>
                  <w14:solidFill>
                    <w14:schemeClr w14:val="tx1"/>
                  </w14:solidFill>
                </w14:textFill>
              </w:rPr>
            </w:pPr>
            <w:r>
              <w:rPr>
                <w:rFonts w:hint="eastAsia" w:ascii="宋体" w:hAnsi="宋体"/>
                <w:szCs w:val="21"/>
              </w:rPr>
              <w:t>☑</w:t>
            </w:r>
            <w:r>
              <w:rPr>
                <w:rFonts w:hint="eastAsia" w:ascii="宋体" w:hAnsi="宋体"/>
                <w:color w:val="000000" w:themeColor="text1"/>
                <w:szCs w:val="21"/>
                <w14:textFill>
                  <w14:solidFill>
                    <w14:schemeClr w14:val="tx1"/>
                  </w14:solidFill>
                </w14:textFill>
              </w:rPr>
              <w:t xml:space="preserve"> 不要求提供</w:t>
            </w:r>
          </w:p>
          <w:p>
            <w:pPr>
              <w:pageBreakBefore w:val="0"/>
              <w:kinsoku/>
              <w:wordWrap/>
              <w:overflowPunct/>
              <w:bidi w:val="0"/>
              <w:adjustRightInd w:val="0"/>
              <w:snapToGrid w:val="0"/>
              <w:spacing w:before="72" w:beforeLines="30" w:line="440" w:lineRule="exact"/>
              <w:rPr>
                <w:rFonts w:ascii="宋体" w:hAnsi="宋体"/>
                <w:color w:val="000000" w:themeColor="text1"/>
                <w:szCs w:val="21"/>
                <w14:textFill>
                  <w14:solidFill>
                    <w14:schemeClr w14:val="tx1"/>
                  </w14:solidFill>
                </w14:textFill>
              </w:rPr>
            </w:pPr>
            <w:r>
              <w:rPr>
                <w:rFonts w:hint="eastAsia" w:ascii="宋体" w:hAnsi="宋体"/>
                <w:szCs w:val="21"/>
              </w:rPr>
              <w:t xml:space="preserve">□ </w:t>
            </w:r>
            <w:r>
              <w:rPr>
                <w:rFonts w:hint="eastAsia" w:ascii="宋体" w:hAnsi="宋体"/>
                <w:color w:val="000000" w:themeColor="text1"/>
                <w:szCs w:val="21"/>
                <w14:textFill>
                  <w14:solidFill>
                    <w14:schemeClr w14:val="tx1"/>
                  </w14:solidFill>
                </w14:textFill>
              </w:rPr>
              <w:t>要求提供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第20.1款</w:t>
            </w:r>
          </w:p>
        </w:tc>
        <w:tc>
          <w:tcPr>
            <w:tcW w:w="1661"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bCs/>
                <w:szCs w:val="21"/>
              </w:rPr>
              <w:t>响应文件有效期</w:t>
            </w:r>
          </w:p>
        </w:tc>
        <w:tc>
          <w:tcPr>
            <w:tcW w:w="6038" w:type="dxa"/>
            <w:vAlign w:val="center"/>
          </w:tcPr>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u w:val="single"/>
              </w:rPr>
              <w:t xml:space="preserve"> 90 </w:t>
            </w:r>
            <w:r>
              <w:rPr>
                <w:rFonts w:hint="eastAsia" w:ascii="宋体" w:hAnsi="宋体"/>
                <w:szCs w:val="21"/>
              </w:rPr>
              <w:t>日（日历日）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第21.1款</w:t>
            </w:r>
          </w:p>
        </w:tc>
        <w:tc>
          <w:tcPr>
            <w:tcW w:w="1661"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bCs/>
                <w:szCs w:val="21"/>
              </w:rPr>
              <w:t>响应</w:t>
            </w:r>
            <w:r>
              <w:rPr>
                <w:rFonts w:hint="eastAsia" w:ascii="宋体" w:hAnsi="宋体"/>
                <w:szCs w:val="21"/>
              </w:rPr>
              <w:t>文件副本份数</w:t>
            </w:r>
          </w:p>
        </w:tc>
        <w:tc>
          <w:tcPr>
            <w:tcW w:w="6038" w:type="dxa"/>
            <w:vAlign w:val="center"/>
          </w:tcPr>
          <w:p>
            <w:pPr>
              <w:pageBreakBefore w:val="0"/>
              <w:kinsoku/>
              <w:wordWrap/>
              <w:overflowPunct/>
              <w:bidi w:val="0"/>
              <w:adjustRightInd w:val="0"/>
              <w:snapToGrid w:val="0"/>
              <w:spacing w:line="440" w:lineRule="exact"/>
              <w:rPr>
                <w:rFonts w:ascii="宋体" w:hAnsi="宋体"/>
                <w:szCs w:val="21"/>
              </w:rPr>
            </w:pPr>
            <w:r>
              <w:rPr>
                <w:rFonts w:hint="eastAsia" w:ascii="宋体" w:hAnsi="宋体" w:cs="宋体"/>
              </w:rPr>
              <w:t>正本壹份，副本叁份，</w:t>
            </w:r>
            <w:r>
              <w:rPr>
                <w:rFonts w:hint="eastAsia" w:ascii="宋体" w:hAnsi="宋体"/>
                <w:color w:val="000000"/>
                <w:szCs w:val="21"/>
              </w:rPr>
              <w:t>电子文件PDF一份（U盘单独密封包</w:t>
            </w:r>
            <w:r>
              <w:rPr>
                <w:rFonts w:hint="eastAsia" w:ascii="宋体" w:hAnsi="宋体"/>
                <w:color w:val="000000" w:themeColor="text1"/>
                <w:szCs w:val="21"/>
                <w14:textFill>
                  <w14:solidFill>
                    <w14:schemeClr w14:val="tx1"/>
                  </w14:solidFill>
                </w14:textFill>
              </w:rPr>
              <w:t>装、递交</w:t>
            </w:r>
            <w:r>
              <w:rPr>
                <w:rFonts w:hint="eastAsia" w:ascii="宋体" w:hAnsi="宋体"/>
                <w:color w:val="000000"/>
                <w:szCs w:val="21"/>
              </w:rPr>
              <w:t>，须注明电子文件和单位名称，并加盖本单位公章，未提交投标文件电子档的，视为无效投标）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228" w:type="dxa"/>
            <w:gridSpan w:val="3"/>
            <w:vAlign w:val="center"/>
          </w:tcPr>
          <w:p>
            <w:pPr>
              <w:pageBreakBefore w:val="0"/>
              <w:kinsoku/>
              <w:wordWrap/>
              <w:overflowPunct/>
              <w:bidi w:val="0"/>
              <w:adjustRightInd w:val="0"/>
              <w:snapToGrid w:val="0"/>
              <w:spacing w:line="440" w:lineRule="exact"/>
              <w:jc w:val="center"/>
              <w:rPr>
                <w:rFonts w:ascii="宋体" w:hAnsi="宋体"/>
                <w:szCs w:val="21"/>
                <w:u w:val="single"/>
              </w:rPr>
            </w:pPr>
            <w:r>
              <w:rPr>
                <w:rFonts w:hint="eastAsia" w:hAnsi="宋体"/>
                <w:b/>
                <w:sz w:val="24"/>
              </w:rPr>
              <w:t>四、响应文件的递交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第22.2款</w:t>
            </w:r>
          </w:p>
        </w:tc>
        <w:tc>
          <w:tcPr>
            <w:tcW w:w="1661" w:type="dxa"/>
            <w:vAlign w:val="center"/>
          </w:tcPr>
          <w:p>
            <w:pPr>
              <w:pageBreakBefore w:val="0"/>
              <w:kinsoku/>
              <w:wordWrap/>
              <w:overflowPunct/>
              <w:bidi w:val="0"/>
              <w:adjustRightInd w:val="0"/>
              <w:snapToGrid w:val="0"/>
              <w:spacing w:line="440" w:lineRule="exact"/>
              <w:jc w:val="center"/>
              <w:rPr>
                <w:rFonts w:ascii="宋体" w:hAnsi="宋体"/>
                <w:bCs/>
                <w:szCs w:val="21"/>
              </w:rPr>
            </w:pPr>
            <w:r>
              <w:rPr>
                <w:rFonts w:hint="eastAsia" w:ascii="宋体" w:hAnsi="宋体"/>
                <w:szCs w:val="21"/>
              </w:rPr>
              <w:t>封套上应载明的信息</w:t>
            </w:r>
          </w:p>
        </w:tc>
        <w:tc>
          <w:tcPr>
            <w:tcW w:w="6038" w:type="dxa"/>
            <w:vAlign w:val="center"/>
          </w:tcPr>
          <w:p>
            <w:pPr>
              <w:pageBreakBefore w:val="0"/>
              <w:kinsoku/>
              <w:wordWrap/>
              <w:overflowPunct/>
              <w:bidi w:val="0"/>
              <w:adjustRightInd w:val="0"/>
              <w:snapToGrid w:val="0"/>
              <w:spacing w:before="156" w:line="440" w:lineRule="exact"/>
              <w:rPr>
                <w:rFonts w:ascii="宋体" w:hAnsi="宋体"/>
                <w:szCs w:val="21"/>
              </w:rPr>
            </w:pPr>
            <w:r>
              <w:rPr>
                <w:rFonts w:hint="eastAsia" w:ascii="宋体" w:hAnsi="宋体"/>
                <w:szCs w:val="21"/>
                <w:u w:val="single"/>
              </w:rPr>
              <w:t xml:space="preserve">                      (</w:t>
            </w:r>
            <w:r>
              <w:rPr>
                <w:rFonts w:hint="eastAsia" w:ascii="宋体" w:hAnsi="宋体"/>
                <w:szCs w:val="21"/>
              </w:rPr>
              <w:t xml:space="preserve">项目名称) 响应文件  </w:t>
            </w:r>
          </w:p>
          <w:p>
            <w:pPr>
              <w:pageBreakBefore w:val="0"/>
              <w:kinsoku/>
              <w:wordWrap/>
              <w:overflowPunct/>
              <w:bidi w:val="0"/>
              <w:adjustRightInd w:val="0"/>
              <w:snapToGrid w:val="0"/>
              <w:spacing w:line="440" w:lineRule="exact"/>
              <w:rPr>
                <w:rFonts w:ascii="宋体" w:hAnsi="宋体" w:cs="宋体"/>
                <w:u w:val="single"/>
              </w:rPr>
            </w:pPr>
            <w:r>
              <w:rPr>
                <w:rFonts w:hint="eastAsia" w:ascii="宋体" w:hAnsi="宋体" w:cs="宋体"/>
              </w:rPr>
              <w:t>政府采购编号：</w:t>
            </w:r>
          </w:p>
          <w:p>
            <w:pPr>
              <w:pageBreakBefore w:val="0"/>
              <w:kinsoku/>
              <w:wordWrap/>
              <w:overflowPunct/>
              <w:bidi w:val="0"/>
              <w:adjustRightInd w:val="0"/>
              <w:snapToGrid w:val="0"/>
              <w:spacing w:line="440" w:lineRule="exact"/>
              <w:rPr>
                <w:rFonts w:ascii="宋体" w:hAnsi="宋体" w:cs="宋体"/>
              </w:rPr>
            </w:pPr>
            <w:r>
              <w:rPr>
                <w:rFonts w:hint="eastAsia" w:ascii="宋体" w:hAnsi="宋体" w:cs="宋体"/>
              </w:rPr>
              <w:t>委托代理编号：</w:t>
            </w:r>
          </w:p>
          <w:p>
            <w:pPr>
              <w:pageBreakBefore w:val="0"/>
              <w:kinsoku/>
              <w:wordWrap/>
              <w:overflowPunct/>
              <w:bidi w:val="0"/>
              <w:adjustRightInd w:val="0"/>
              <w:snapToGrid w:val="0"/>
              <w:spacing w:line="440" w:lineRule="exact"/>
              <w:rPr>
                <w:rFonts w:ascii="宋体" w:hAnsi="宋体" w:cs="宋体"/>
              </w:rPr>
            </w:pPr>
            <w:r>
              <w:rPr>
                <w:rFonts w:hint="eastAsia" w:ascii="宋体" w:hAnsi="宋体" w:cs="宋体"/>
              </w:rPr>
              <w:t>供应商名称：</w:t>
            </w:r>
          </w:p>
          <w:p>
            <w:pPr>
              <w:pageBreakBefore w:val="0"/>
              <w:kinsoku/>
              <w:wordWrap/>
              <w:overflowPunct/>
              <w:bidi w:val="0"/>
              <w:adjustRightInd w:val="0"/>
              <w:snapToGrid w:val="0"/>
              <w:spacing w:line="440" w:lineRule="exact"/>
              <w:rPr>
                <w:rFonts w:ascii="宋体" w:hAnsi="宋体" w:cs="宋体"/>
              </w:rPr>
            </w:pPr>
            <w:r>
              <w:rPr>
                <w:rFonts w:hint="eastAsia" w:ascii="宋体" w:hAnsi="宋体" w:cs="宋体"/>
              </w:rPr>
              <w:t>法定代表人或其授权委托人：（签字或盖章）</w:t>
            </w:r>
          </w:p>
          <w:p>
            <w:pPr>
              <w:pageBreakBefore w:val="0"/>
              <w:kinsoku/>
              <w:wordWrap/>
              <w:overflowPunct/>
              <w:bidi w:val="0"/>
              <w:adjustRightInd w:val="0"/>
              <w:snapToGrid w:val="0"/>
              <w:spacing w:line="440" w:lineRule="exact"/>
              <w:rPr>
                <w:rFonts w:ascii="宋体" w:hAnsi="宋体"/>
                <w:szCs w:val="21"/>
                <w:u w:val="single"/>
              </w:rPr>
            </w:pPr>
            <w:r>
              <w:rPr>
                <w:rFonts w:hint="eastAsia" w:ascii="宋体" w:hAnsi="宋体" w:cs="宋体"/>
              </w:rPr>
              <w:t>在2023年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r>
              <w:rPr>
                <w:rFonts w:hint="eastAsia" w:ascii="宋体" w:hAnsi="宋体" w:cs="宋体"/>
                <w:lang w:val="en-US" w:eastAsia="zh-CN"/>
              </w:rPr>
              <w:t xml:space="preserve">  </w:t>
            </w:r>
            <w:r>
              <w:rPr>
                <w:rFonts w:hint="eastAsia" w:ascii="宋体" w:hAnsi="宋体" w:cs="宋体"/>
              </w:rPr>
              <w:t>时</w:t>
            </w:r>
            <w:r>
              <w:rPr>
                <w:rFonts w:hint="eastAsia" w:ascii="宋体" w:hAnsi="宋体" w:cs="宋体"/>
                <w:lang w:val="en-US" w:eastAsia="zh-CN"/>
              </w:rPr>
              <w:t xml:space="preserve">  </w:t>
            </w:r>
            <w:r>
              <w:rPr>
                <w:rFonts w:hint="eastAsia" w:ascii="宋体" w:hAnsi="宋体" w:cs="宋体"/>
              </w:rPr>
              <w:t>分之前不得启封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第24.1款</w:t>
            </w:r>
          </w:p>
        </w:tc>
        <w:tc>
          <w:tcPr>
            <w:tcW w:w="1661" w:type="dxa"/>
            <w:vAlign w:val="center"/>
          </w:tcPr>
          <w:p>
            <w:pPr>
              <w:pageBreakBefore w:val="0"/>
              <w:kinsoku/>
              <w:wordWrap/>
              <w:overflowPunct/>
              <w:bidi w:val="0"/>
              <w:adjustRightInd w:val="0"/>
              <w:snapToGrid w:val="0"/>
              <w:spacing w:line="440" w:lineRule="exact"/>
              <w:jc w:val="center"/>
              <w:rPr>
                <w:rFonts w:ascii="宋体" w:hAnsi="宋体"/>
                <w:bCs/>
                <w:szCs w:val="21"/>
              </w:rPr>
            </w:pPr>
            <w:r>
              <w:rPr>
                <w:rFonts w:hint="eastAsia" w:ascii="宋体" w:hAnsi="宋体"/>
                <w:szCs w:val="21"/>
              </w:rPr>
              <w:t>响应文件的递交地点</w:t>
            </w:r>
          </w:p>
        </w:tc>
        <w:tc>
          <w:tcPr>
            <w:tcW w:w="6038" w:type="dxa"/>
            <w:vAlign w:val="center"/>
          </w:tcPr>
          <w:p>
            <w:pPr>
              <w:pageBreakBefore w:val="0"/>
              <w:kinsoku/>
              <w:wordWrap/>
              <w:overflowPunct/>
              <w:bidi w:val="0"/>
              <w:adjustRightInd w:val="0"/>
              <w:snapToGrid w:val="0"/>
              <w:spacing w:line="440" w:lineRule="exact"/>
              <w:rPr>
                <w:rFonts w:ascii="宋体" w:hAnsi="宋体"/>
                <w:szCs w:val="21"/>
                <w:u w:val="single"/>
              </w:rPr>
            </w:pPr>
            <w:r>
              <w:rPr>
                <w:rFonts w:hint="eastAsia" w:ascii="宋体" w:hAnsi="宋体" w:cs="宋体"/>
                <w:szCs w:val="21"/>
                <w:u w:val="single"/>
              </w:rPr>
              <w:t>湖南建衡达工程咨询有限公司开标室（</w:t>
            </w:r>
            <w:r>
              <w:rPr>
                <w:rFonts w:hint="eastAsia" w:ascii="宋体" w:hAnsi="宋体" w:cs="宋体"/>
                <w:color w:val="000000"/>
                <w:u w:val="single"/>
                <w:shd w:val="clear" w:color="auto" w:fill="FFFFFF"/>
              </w:rPr>
              <w:t>长沙市雨花区美林路35号华雅花园1栋32楼</w:t>
            </w:r>
            <w:r>
              <w:rPr>
                <w:rFonts w:hint="eastAsia" w:ascii="宋体" w:hAnsi="宋体" w:cs="宋体"/>
                <w:szCs w:val="21"/>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228" w:type="dxa"/>
            <w:gridSpan w:val="3"/>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hAnsi="宋体"/>
                <w:b/>
                <w:sz w:val="24"/>
              </w:rPr>
              <w:t>五、响应文件的磋商与评审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第31.2款</w:t>
            </w:r>
          </w:p>
        </w:tc>
        <w:tc>
          <w:tcPr>
            <w:tcW w:w="1661"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评审因素和标准</w:t>
            </w:r>
          </w:p>
        </w:tc>
        <w:tc>
          <w:tcPr>
            <w:tcW w:w="6038" w:type="dxa"/>
            <w:vAlign w:val="center"/>
          </w:tcPr>
          <w:p>
            <w:pPr>
              <w:pageBreakBefore w:val="0"/>
              <w:kinsoku/>
              <w:wordWrap/>
              <w:overflowPunct/>
              <w:bidi w:val="0"/>
              <w:adjustRightInd w:val="0"/>
              <w:snapToGrid w:val="0"/>
              <w:spacing w:line="440" w:lineRule="exact"/>
              <w:rPr>
                <w:rFonts w:ascii="宋体" w:hAnsi="宋体"/>
                <w:szCs w:val="21"/>
              </w:rPr>
            </w:pPr>
            <w:r>
              <w:rPr>
                <w:rFonts w:hint="eastAsia" w:ascii="宋体" w:hAnsi="宋体"/>
                <w:bCs/>
                <w:szCs w:val="21"/>
              </w:rPr>
              <w:t>见附页4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第31.3款</w:t>
            </w:r>
          </w:p>
        </w:tc>
        <w:tc>
          <w:tcPr>
            <w:tcW w:w="1661" w:type="dxa"/>
            <w:vAlign w:val="center"/>
          </w:tcPr>
          <w:p>
            <w:pPr>
              <w:pageBreakBefore w:val="0"/>
              <w:kinsoku/>
              <w:wordWrap/>
              <w:overflowPunct/>
              <w:bidi w:val="0"/>
              <w:adjustRightInd w:val="0"/>
              <w:snapToGrid w:val="0"/>
              <w:spacing w:before="120" w:beforeLines="50" w:line="440" w:lineRule="exact"/>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最后报价</w:t>
            </w:r>
            <w:r>
              <w:rPr>
                <w:rFonts w:hint="eastAsia" w:ascii="宋体" w:hAnsi="宋体"/>
                <w:color w:val="000000" w:themeColor="text1"/>
                <w:szCs w:val="21"/>
                <w14:textFill>
                  <w14:solidFill>
                    <w14:schemeClr w14:val="tx1"/>
                  </w14:solidFill>
                </w14:textFill>
              </w:rPr>
              <w:t>调整</w:t>
            </w:r>
          </w:p>
        </w:tc>
        <w:tc>
          <w:tcPr>
            <w:tcW w:w="6038" w:type="dxa"/>
            <w:vAlign w:val="center"/>
          </w:tcPr>
          <w:p>
            <w:pPr>
              <w:pageBreakBefore w:val="0"/>
              <w:kinsoku/>
              <w:wordWrap/>
              <w:overflowPunct/>
              <w:bidi w:val="0"/>
              <w:adjustRightInd w:val="0"/>
              <w:snapToGrid w:val="0"/>
              <w:spacing w:before="48" w:beforeLines="20" w:after="48" w:afterLines="20" w:line="440" w:lineRule="exact"/>
              <w:rPr>
                <w:rFonts w:ascii="宋体" w:hAnsi="宋体"/>
                <w:color w:val="000000" w:themeColor="text1"/>
                <w:spacing w:val="-4"/>
                <w:szCs w:val="21"/>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政府采购支持中小企业发展（货物类供应商和产品制造商应同时满足中小微企业的条件）：小型或微型企业，最后报价扣除比例为</w:t>
            </w:r>
            <w:r>
              <w:rPr>
                <w:rFonts w:hint="eastAsia" w:ascii="宋体" w:hAnsi="宋体"/>
                <w:color w:val="000000" w:themeColor="text1"/>
                <w:spacing w:val="-4"/>
                <w:szCs w:val="21"/>
                <w:u w:val="single"/>
                <w14:textFill>
                  <w14:solidFill>
                    <w14:schemeClr w14:val="tx1"/>
                  </w14:solidFill>
                </w14:textFill>
              </w:rPr>
              <w:t xml:space="preserve"> 10 </w:t>
            </w:r>
            <w:r>
              <w:rPr>
                <w:rFonts w:hint="eastAsia" w:ascii="宋体" w:hAnsi="宋体"/>
                <w:color w:val="000000" w:themeColor="text1"/>
                <w:spacing w:val="-4"/>
                <w:szCs w:val="21"/>
                <w14:textFill>
                  <w14:solidFill>
                    <w14:schemeClr w14:val="tx1"/>
                  </w14:solidFill>
                </w14:textFill>
              </w:rPr>
              <w:t>％；联合体参与磋商的，最后报价扣除比例为</w:t>
            </w:r>
            <w:r>
              <w:rPr>
                <w:rFonts w:hint="eastAsia" w:ascii="宋体" w:hAnsi="宋体"/>
                <w:color w:val="000000" w:themeColor="text1"/>
                <w:spacing w:val="-4"/>
                <w:szCs w:val="21"/>
                <w:u w:val="single"/>
                <w14:textFill>
                  <w14:solidFill>
                    <w14:schemeClr w14:val="tx1"/>
                  </w14:solidFill>
                </w14:textFill>
              </w:rPr>
              <w:t xml:space="preserve"> / </w:t>
            </w:r>
            <w:r>
              <w:rPr>
                <w:rFonts w:hint="eastAsia" w:ascii="宋体" w:hAnsi="宋体"/>
                <w:color w:val="000000" w:themeColor="text1"/>
                <w:spacing w:val="-4"/>
                <w:szCs w:val="21"/>
                <w14:textFill>
                  <w14:solidFill>
                    <w14:schemeClr w14:val="tx1"/>
                  </w14:solidFill>
                </w14:textFill>
              </w:rPr>
              <w:t>%。评审时，用扣除后的最后报价计算价格分。</w:t>
            </w:r>
            <w:r>
              <w:rPr>
                <w:rFonts w:hint="eastAsia" w:ascii="宋体" w:hAnsi="宋体"/>
                <w:color w:val="000000" w:themeColor="text1"/>
                <w:szCs w:val="21"/>
                <w14:textFill>
                  <w14:solidFill>
                    <w14:schemeClr w14:val="tx1"/>
                  </w14:solidFill>
                </w14:textFill>
              </w:rPr>
              <w:t>监狱企业、残疾人福利性单位视同小型、微型企业。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第31.5款</w:t>
            </w:r>
          </w:p>
        </w:tc>
        <w:tc>
          <w:tcPr>
            <w:tcW w:w="1661"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技术、商务、价格</w:t>
            </w:r>
            <w:r>
              <w:rPr>
                <w:rFonts w:hint="eastAsia" w:ascii="宋体" w:hAnsi="宋体" w:cs="宋体"/>
                <w:kern w:val="0"/>
                <w:szCs w:val="21"/>
              </w:rPr>
              <w:t>得分或总得分</w:t>
            </w:r>
            <w:r>
              <w:rPr>
                <w:rFonts w:hint="eastAsia" w:ascii="宋体" w:hAnsi="宋体"/>
                <w:szCs w:val="21"/>
              </w:rPr>
              <w:t>调整</w:t>
            </w:r>
          </w:p>
        </w:tc>
        <w:tc>
          <w:tcPr>
            <w:tcW w:w="6038" w:type="dxa"/>
            <w:vAlign w:val="center"/>
          </w:tcPr>
          <w:p>
            <w:pPr>
              <w:pageBreakBefore w:val="0"/>
              <w:kinsoku/>
              <w:wordWrap/>
              <w:overflowPunct/>
              <w:bidi w:val="0"/>
              <w:adjustRightInd w:val="0"/>
              <w:snapToGrid w:val="0"/>
              <w:spacing w:before="120" w:beforeLines="50" w:after="120" w:afterLines="50" w:line="440" w:lineRule="exact"/>
              <w:rPr>
                <w:rFonts w:ascii="宋体" w:hAnsi="宋体"/>
                <w:szCs w:val="21"/>
              </w:rPr>
            </w:pPr>
            <w:r>
              <w:rPr>
                <w:rFonts w:hint="eastAsia" w:ascii="宋体" w:hAnsi="宋体"/>
                <w:szCs w:val="21"/>
              </w:rPr>
              <w:t>符合第二章第8</w:t>
            </w:r>
            <w:r>
              <w:rPr>
                <w:rFonts w:ascii="宋体" w:hAnsi="宋体"/>
                <w:szCs w:val="21"/>
              </w:rPr>
              <w:t>.</w:t>
            </w:r>
            <w:r>
              <w:rPr>
                <w:rFonts w:hint="eastAsia" w:ascii="宋体" w:hAnsi="宋体"/>
                <w:szCs w:val="21"/>
              </w:rPr>
              <w:t>1款规定，按第二章第29.6款规定及本款分值调整：</w:t>
            </w:r>
          </w:p>
          <w:p>
            <w:pPr>
              <w:pageBreakBefore w:val="0"/>
              <w:numPr>
                <w:ilvl w:val="0"/>
                <w:numId w:val="3"/>
              </w:numPr>
              <w:tabs>
                <w:tab w:val="clear" w:pos="360"/>
              </w:tabs>
              <w:kinsoku/>
              <w:wordWrap/>
              <w:overflowPunct/>
              <w:bidi w:val="0"/>
              <w:adjustRightInd w:val="0"/>
              <w:snapToGrid w:val="0"/>
              <w:spacing w:before="120" w:beforeLines="50" w:after="120" w:afterLines="50" w:line="440" w:lineRule="exact"/>
              <w:ind w:left="357" w:hanging="357"/>
              <w:rPr>
                <w:rFonts w:ascii="宋体" w:hAnsi="宋体"/>
                <w:szCs w:val="21"/>
              </w:rPr>
            </w:pPr>
            <w:r>
              <w:rPr>
                <w:rFonts w:hint="eastAsia" w:ascii="宋体" w:hAnsi="宋体"/>
                <w:szCs w:val="21"/>
              </w:rPr>
              <w:t>节能产品：</w:t>
            </w:r>
          </w:p>
          <w:p>
            <w:pPr>
              <w:pageBreakBefore w:val="0"/>
              <w:kinsoku/>
              <w:wordWrap/>
              <w:overflowPunct/>
              <w:bidi w:val="0"/>
              <w:adjustRightInd w:val="0"/>
              <w:snapToGrid w:val="0"/>
              <w:spacing w:before="120" w:beforeLines="50" w:after="120" w:afterLines="50" w:line="440" w:lineRule="exact"/>
              <w:ind w:left="105" w:leftChars="50"/>
              <w:rPr>
                <w:rFonts w:ascii="宋体" w:hAnsi="宋体"/>
                <w:szCs w:val="21"/>
              </w:rPr>
            </w:pPr>
            <w:r>
              <w:rPr>
                <w:rFonts w:hint="eastAsia" w:ascii="宋体" w:hAnsi="宋体"/>
                <w:szCs w:val="21"/>
              </w:rPr>
              <w:t>技术加分＝技术分值× 加分比例（比例见前附表第8.2项,下同）×（节能产品最后报价÷最后总报价）；</w:t>
            </w:r>
          </w:p>
          <w:p>
            <w:pPr>
              <w:pageBreakBefore w:val="0"/>
              <w:kinsoku/>
              <w:wordWrap/>
              <w:overflowPunct/>
              <w:bidi w:val="0"/>
              <w:adjustRightInd w:val="0"/>
              <w:snapToGrid w:val="0"/>
              <w:spacing w:before="120" w:beforeLines="50" w:after="120" w:afterLines="50" w:line="440" w:lineRule="exact"/>
              <w:ind w:left="105" w:leftChars="50"/>
              <w:rPr>
                <w:rFonts w:ascii="宋体" w:hAnsi="宋体"/>
                <w:szCs w:val="21"/>
              </w:rPr>
            </w:pPr>
            <w:r>
              <w:rPr>
                <w:rFonts w:hint="eastAsia" w:ascii="宋体" w:hAnsi="宋体"/>
                <w:szCs w:val="21"/>
              </w:rPr>
              <w:t>价格加分＝价格分值×加分比例×（节能产品最后报价÷最后总报价）。</w:t>
            </w:r>
          </w:p>
          <w:p>
            <w:pPr>
              <w:pageBreakBefore w:val="0"/>
              <w:kinsoku/>
              <w:wordWrap/>
              <w:overflowPunct/>
              <w:bidi w:val="0"/>
              <w:adjustRightInd w:val="0"/>
              <w:snapToGrid w:val="0"/>
              <w:spacing w:before="120" w:beforeLines="50" w:after="120" w:afterLines="50" w:line="440" w:lineRule="exact"/>
              <w:rPr>
                <w:rFonts w:ascii="宋体" w:hAnsi="宋体"/>
                <w:szCs w:val="21"/>
              </w:rPr>
            </w:pPr>
            <w:r>
              <w:rPr>
                <w:rFonts w:hint="eastAsia" w:ascii="宋体" w:hAnsi="宋体"/>
                <w:szCs w:val="21"/>
              </w:rPr>
              <w:t>2、环境标志产品：</w:t>
            </w:r>
          </w:p>
          <w:p>
            <w:pPr>
              <w:pageBreakBefore w:val="0"/>
              <w:kinsoku/>
              <w:wordWrap/>
              <w:overflowPunct/>
              <w:bidi w:val="0"/>
              <w:adjustRightInd w:val="0"/>
              <w:snapToGrid w:val="0"/>
              <w:spacing w:before="120" w:beforeLines="50" w:after="120" w:afterLines="50" w:line="440" w:lineRule="exact"/>
              <w:ind w:left="105" w:leftChars="50"/>
              <w:rPr>
                <w:rFonts w:ascii="宋体" w:hAnsi="宋体"/>
                <w:szCs w:val="21"/>
              </w:rPr>
            </w:pPr>
            <w:r>
              <w:rPr>
                <w:rFonts w:hint="eastAsia" w:ascii="宋体" w:hAnsi="宋体"/>
                <w:szCs w:val="21"/>
              </w:rPr>
              <w:t>技术加分＝技术分值× 加分比例×（环境标志产品最后报价÷最后总报价）；</w:t>
            </w:r>
          </w:p>
          <w:p>
            <w:pPr>
              <w:pageBreakBefore w:val="0"/>
              <w:kinsoku/>
              <w:wordWrap/>
              <w:overflowPunct/>
              <w:bidi w:val="0"/>
              <w:adjustRightInd w:val="0"/>
              <w:snapToGrid w:val="0"/>
              <w:spacing w:before="120" w:beforeLines="50" w:after="120" w:afterLines="50" w:line="440" w:lineRule="exact"/>
              <w:ind w:left="105" w:leftChars="50"/>
              <w:rPr>
                <w:rFonts w:ascii="宋体" w:hAnsi="宋体"/>
                <w:szCs w:val="21"/>
              </w:rPr>
            </w:pPr>
            <w:r>
              <w:rPr>
                <w:rFonts w:hint="eastAsia" w:ascii="宋体" w:hAnsi="宋体"/>
                <w:szCs w:val="21"/>
              </w:rPr>
              <w:t>价格加分＝价格分值×加分比例×（环境标志产品最后报价÷最后总报价）。</w:t>
            </w:r>
          </w:p>
          <w:p>
            <w:pPr>
              <w:pageBreakBefore w:val="0"/>
              <w:kinsoku/>
              <w:wordWrap/>
              <w:overflowPunct/>
              <w:bidi w:val="0"/>
              <w:adjustRightInd w:val="0"/>
              <w:snapToGrid w:val="0"/>
              <w:spacing w:before="120" w:beforeLines="50" w:after="120" w:afterLines="50" w:line="440" w:lineRule="exact"/>
              <w:ind w:left="210" w:hanging="210" w:hangingChars="100"/>
              <w:rPr>
                <w:rFonts w:ascii="宋体" w:hAnsi="宋体"/>
                <w:szCs w:val="21"/>
              </w:rPr>
            </w:pPr>
            <w:r>
              <w:rPr>
                <w:rFonts w:hint="eastAsia" w:ascii="宋体" w:hAnsi="宋体"/>
                <w:szCs w:val="21"/>
              </w:rPr>
              <w:t>3、两型产品：</w:t>
            </w:r>
          </w:p>
          <w:p>
            <w:pPr>
              <w:pageBreakBefore w:val="0"/>
              <w:kinsoku/>
              <w:wordWrap/>
              <w:overflowPunct/>
              <w:bidi w:val="0"/>
              <w:adjustRightInd w:val="0"/>
              <w:snapToGrid w:val="0"/>
              <w:spacing w:before="120" w:beforeLines="50" w:after="120" w:afterLines="50" w:line="440" w:lineRule="exact"/>
              <w:ind w:left="105" w:leftChars="50"/>
              <w:rPr>
                <w:rFonts w:ascii="宋体" w:hAnsi="宋体"/>
                <w:szCs w:val="21"/>
              </w:rPr>
            </w:pPr>
            <w:r>
              <w:rPr>
                <w:rFonts w:hint="eastAsia" w:ascii="宋体" w:hAnsi="宋体"/>
                <w:szCs w:val="21"/>
              </w:rPr>
              <w:t>商务加分＝商务分值×加分比例×（两型产品最后报价÷最后总报价）；</w:t>
            </w:r>
          </w:p>
          <w:p>
            <w:pPr>
              <w:pageBreakBefore w:val="0"/>
              <w:kinsoku/>
              <w:wordWrap/>
              <w:overflowPunct/>
              <w:bidi w:val="0"/>
              <w:adjustRightInd w:val="0"/>
              <w:snapToGrid w:val="0"/>
              <w:spacing w:before="120" w:beforeLines="50" w:after="120" w:afterLines="50" w:line="440" w:lineRule="exact"/>
              <w:ind w:left="105" w:leftChars="50"/>
              <w:rPr>
                <w:rFonts w:ascii="宋体" w:hAnsi="宋体"/>
                <w:szCs w:val="21"/>
              </w:rPr>
            </w:pPr>
            <w:r>
              <w:rPr>
                <w:rFonts w:hint="eastAsia" w:ascii="宋体" w:hAnsi="宋体"/>
                <w:szCs w:val="21"/>
              </w:rPr>
              <w:t>技术加分＝技术分值×加分比例×（两型产品最后报价÷最后总报价）；</w:t>
            </w:r>
          </w:p>
          <w:p>
            <w:pPr>
              <w:pageBreakBefore w:val="0"/>
              <w:kinsoku/>
              <w:wordWrap/>
              <w:overflowPunct/>
              <w:bidi w:val="0"/>
              <w:adjustRightInd w:val="0"/>
              <w:snapToGrid w:val="0"/>
              <w:spacing w:before="120" w:beforeLines="50" w:after="120" w:afterLines="50" w:line="440" w:lineRule="exact"/>
              <w:rPr>
                <w:rFonts w:ascii="宋体" w:hAnsi="宋体"/>
                <w:szCs w:val="21"/>
              </w:rPr>
            </w:pPr>
            <w:r>
              <w:rPr>
                <w:rFonts w:hint="eastAsia" w:ascii="宋体" w:hAnsi="宋体"/>
                <w:szCs w:val="21"/>
              </w:rPr>
              <w:t>价格加分＝价格分值×加分比例×（两型产品最后报价÷最后总报价）。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第31.6款</w:t>
            </w:r>
          </w:p>
        </w:tc>
        <w:tc>
          <w:tcPr>
            <w:tcW w:w="1661"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多处或部分获得政府采购政策优惠的计算方法</w:t>
            </w:r>
          </w:p>
        </w:tc>
        <w:tc>
          <w:tcPr>
            <w:tcW w:w="6038" w:type="dxa"/>
            <w:vAlign w:val="center"/>
          </w:tcPr>
          <w:p>
            <w:pPr>
              <w:pageBreakBefore w:val="0"/>
              <w:kinsoku/>
              <w:wordWrap/>
              <w:overflowPunct/>
              <w:bidi w:val="0"/>
              <w:adjustRightInd w:val="0"/>
              <w:snapToGrid w:val="0"/>
              <w:spacing w:before="120" w:beforeLines="50" w:after="120" w:afterLines="50" w:line="440" w:lineRule="exact"/>
              <w:ind w:left="210" w:hanging="210" w:hangingChars="100"/>
            </w:pPr>
            <w:r>
              <w:rPr>
                <w:rFonts w:hint="eastAsia"/>
              </w:rPr>
              <w:t>1、符合政府采购优先采购政策的，产品只能享受节能产品、环境标志产品、两型产品等产品优惠中的一项(由供应商在响应文件中选择并填报政策功能编码，评审时进行加分) 。</w:t>
            </w:r>
          </w:p>
          <w:p>
            <w:pPr>
              <w:pageBreakBefore w:val="0"/>
              <w:kinsoku/>
              <w:wordWrap/>
              <w:overflowPunct/>
              <w:bidi w:val="0"/>
              <w:adjustRightInd w:val="0"/>
              <w:snapToGrid w:val="0"/>
              <w:spacing w:before="120" w:beforeLines="50" w:after="120" w:afterLines="50" w:line="440" w:lineRule="exact"/>
              <w:ind w:left="210" w:hanging="210" w:hangingChars="100"/>
            </w:pPr>
            <w:r>
              <w:rPr>
                <w:rFonts w:hint="eastAsia"/>
              </w:rPr>
              <w:t>2、供应商享受支持中小企业发展政策优惠的，可以与同时享受节能产品、环境标志产品、两型产品等产品优惠中的一项累加。</w:t>
            </w:r>
          </w:p>
          <w:p>
            <w:pPr>
              <w:pageBreakBefore w:val="0"/>
              <w:kinsoku/>
              <w:wordWrap/>
              <w:overflowPunct/>
              <w:bidi w:val="0"/>
              <w:adjustRightInd w:val="0"/>
              <w:snapToGrid w:val="0"/>
              <w:spacing w:before="120" w:beforeLines="50" w:after="120" w:afterLines="50" w:line="440" w:lineRule="exact"/>
              <w:ind w:left="210" w:hanging="210" w:hangingChars="100"/>
            </w:pPr>
            <w:r>
              <w:rPr>
                <w:rFonts w:hint="eastAsia"/>
              </w:rPr>
              <w:t>3、同一项目中部分产品属于优先采购政策的，评审时只对该部分产品的报价实行价格扣除或加分（按该部分产品的报价占总报价的百分比调整）。</w:t>
            </w:r>
          </w:p>
          <w:p>
            <w:pPr>
              <w:pStyle w:val="79"/>
              <w:pageBreakBefore w:val="0"/>
              <w:kinsoku/>
              <w:wordWrap/>
              <w:overflowPunct/>
              <w:bidi w:val="0"/>
              <w:spacing w:line="440" w:lineRule="exact"/>
              <w:jc w:val="left"/>
            </w:pPr>
            <w:r>
              <w:rPr>
                <w:rFonts w:hint="eastAsia"/>
                <w:b w:val="0"/>
                <w:bCs w:val="0"/>
                <w:sz w:val="21"/>
                <w:szCs w:val="24"/>
              </w:rPr>
              <w:t>4、残疾人福利性单位或监狱企业属于小型、微型企业的，不重复享受扶持中小企业发展的优惠政策。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228" w:type="dxa"/>
            <w:gridSpan w:val="3"/>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hAnsi="宋体"/>
                <w:b/>
                <w:sz w:val="24"/>
              </w:rPr>
              <w:t>六、成交结果信息公布与供应商质疑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第37.1款、</w:t>
            </w:r>
          </w:p>
        </w:tc>
        <w:tc>
          <w:tcPr>
            <w:tcW w:w="1661" w:type="dxa"/>
            <w:vAlign w:val="center"/>
          </w:tcPr>
          <w:p>
            <w:pPr>
              <w:pageBreakBefore w:val="0"/>
              <w:kinsoku/>
              <w:wordWrap/>
              <w:overflowPunct/>
              <w:bidi w:val="0"/>
              <w:adjustRightInd w:val="0"/>
              <w:snapToGrid w:val="0"/>
              <w:spacing w:line="440" w:lineRule="exact"/>
              <w:rPr>
                <w:rFonts w:ascii="宋体" w:hAnsi="宋体"/>
                <w:bCs/>
                <w:szCs w:val="21"/>
              </w:rPr>
            </w:pPr>
            <w:r>
              <w:rPr>
                <w:rFonts w:hint="eastAsia" w:ascii="宋体" w:hAnsi="宋体"/>
                <w:szCs w:val="21"/>
              </w:rPr>
              <w:t>财政部门指定的媒体</w:t>
            </w:r>
          </w:p>
        </w:tc>
        <w:tc>
          <w:tcPr>
            <w:tcW w:w="6038" w:type="dxa"/>
            <w:vAlign w:val="center"/>
          </w:tcPr>
          <w:p>
            <w:pPr>
              <w:pageBreakBefore w:val="0"/>
              <w:kinsoku/>
              <w:wordWrap/>
              <w:overflowPunct/>
              <w:bidi w:val="0"/>
              <w:adjustRightInd w:val="0"/>
              <w:snapToGrid w:val="0"/>
              <w:spacing w:line="440" w:lineRule="exact"/>
              <w:rPr>
                <w:u w:val="single"/>
              </w:rPr>
            </w:pPr>
            <w:r>
              <w:rPr>
                <w:rFonts w:hint="eastAsia"/>
              </w:rPr>
              <w:t>中国湖南政府采购网(www.ccgp-hunan.gov.cn)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第39.3款</w:t>
            </w:r>
          </w:p>
        </w:tc>
        <w:tc>
          <w:tcPr>
            <w:tcW w:w="1661" w:type="dxa"/>
            <w:vAlign w:val="center"/>
          </w:tcPr>
          <w:p>
            <w:pPr>
              <w:pageBreakBefore w:val="0"/>
              <w:kinsoku/>
              <w:wordWrap/>
              <w:overflowPunct/>
              <w:bidi w:val="0"/>
              <w:adjustRightInd w:val="0"/>
              <w:snapToGrid w:val="0"/>
              <w:spacing w:line="440" w:lineRule="exact"/>
              <w:jc w:val="center"/>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履约担保</w:t>
            </w:r>
          </w:p>
        </w:tc>
        <w:tc>
          <w:tcPr>
            <w:tcW w:w="6038" w:type="dxa"/>
            <w:vAlign w:val="center"/>
          </w:tcPr>
          <w:p>
            <w:pPr>
              <w:pageBreakBefore w:val="0"/>
              <w:kinsoku/>
              <w:wordWrap/>
              <w:overflowPunct/>
              <w:bidi w:val="0"/>
              <w:adjustRightInd w:val="0"/>
              <w:snapToGrid w:val="0"/>
              <w:spacing w:line="440" w:lineRule="exact"/>
              <w:rPr>
                <w:rFonts w:ascii="宋体" w:hAnsi="宋体"/>
                <w:color w:val="000000" w:themeColor="text1"/>
                <w:szCs w:val="21"/>
                <w14:textFill>
                  <w14:solidFill>
                    <w14:schemeClr w14:val="tx1"/>
                  </w14:solidFill>
                </w14:textFill>
              </w:rPr>
            </w:pPr>
            <w:r>
              <w:rPr>
                <w:rFonts w:hint="eastAsia" w:ascii="宋体" w:hAnsi="宋体"/>
                <w:szCs w:val="21"/>
              </w:rPr>
              <w:t>☑</w:t>
            </w:r>
            <w:r>
              <w:rPr>
                <w:rFonts w:hint="eastAsia" w:ascii="宋体" w:hAnsi="宋体"/>
                <w:color w:val="000000" w:themeColor="text1"/>
                <w:szCs w:val="21"/>
                <w14:textFill>
                  <w14:solidFill>
                    <w14:schemeClr w14:val="tx1"/>
                  </w14:solidFill>
                </w14:textFill>
              </w:rPr>
              <w:t>不要求提供</w:t>
            </w:r>
          </w:p>
          <w:p>
            <w:pPr>
              <w:pageBreakBefore w:val="0"/>
              <w:kinsoku/>
              <w:wordWrap/>
              <w:overflowPunct/>
              <w:bidi w:val="0"/>
              <w:adjustRightInd w:val="0"/>
              <w:snapToGrid w:val="0"/>
              <w:spacing w:before="120" w:beforeLines="50" w:line="440" w:lineRule="exact"/>
              <w:ind w:left="315" w:hanging="315" w:hangingChars="150"/>
              <w:rPr>
                <w:rFonts w:ascii="宋体" w:hAnsi="宋体"/>
                <w:color w:val="000000" w:themeColor="text1"/>
                <w:szCs w:val="21"/>
                <w:u w:val="single"/>
                <w14:textFill>
                  <w14:solidFill>
                    <w14:schemeClr w14:val="tx1"/>
                  </w14:solidFill>
                </w14:textFill>
              </w:rPr>
            </w:pPr>
            <w:r>
              <w:rPr>
                <w:rFonts w:hint="eastAsia" w:ascii="宋体" w:hAnsi="宋体"/>
                <w:szCs w:val="21"/>
              </w:rPr>
              <w:t>□</w:t>
            </w:r>
            <w:r>
              <w:rPr>
                <w:rFonts w:hint="eastAsia" w:ascii="宋体" w:hAnsi="宋体"/>
                <w:color w:val="000000" w:themeColor="text1"/>
                <w:szCs w:val="21"/>
                <w14:textFill>
                  <w14:solidFill>
                    <w14:schemeClr w14:val="tx1"/>
                  </w14:solidFill>
                </w14:textFill>
              </w:rPr>
              <w:t xml:space="preserve"> 要求提供，履约担保的金额为：合同金额的</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%（支票、汇票、本票或者金融机构、担保机构出具的保函等非现金形式提交）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228" w:type="dxa"/>
            <w:gridSpan w:val="3"/>
            <w:vAlign w:val="center"/>
          </w:tcPr>
          <w:p>
            <w:pPr>
              <w:pageBreakBefore w:val="0"/>
              <w:kinsoku/>
              <w:wordWrap/>
              <w:overflowPunct/>
              <w:bidi w:val="0"/>
              <w:adjustRightInd w:val="0"/>
              <w:snapToGrid w:val="0"/>
              <w:spacing w:line="440" w:lineRule="exact"/>
              <w:jc w:val="center"/>
              <w:rPr>
                <w:rFonts w:ascii="宋体" w:hAnsi="宋体"/>
                <w:sz w:val="18"/>
                <w:bdr w:val="single" w:color="auto" w:sz="4" w:space="0"/>
              </w:rPr>
            </w:pPr>
            <w:r>
              <w:rPr>
                <w:rFonts w:hint="eastAsia" w:hAnsi="宋体"/>
                <w:b/>
                <w:sz w:val="24"/>
              </w:rPr>
              <w:t>七、其他规定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第41.1款</w:t>
            </w:r>
          </w:p>
        </w:tc>
        <w:tc>
          <w:tcPr>
            <w:tcW w:w="1661" w:type="dxa"/>
            <w:vAlign w:val="center"/>
          </w:tcPr>
          <w:p>
            <w:pPr>
              <w:pageBreakBefore w:val="0"/>
              <w:shd w:val="clear" w:color="auto" w:fill="FFFFFF"/>
              <w:kinsoku/>
              <w:wordWrap/>
              <w:overflowPunct/>
              <w:bidi w:val="0"/>
              <w:adjustRightInd w:val="0"/>
              <w:snapToGrid w:val="0"/>
              <w:spacing w:before="120" w:beforeLines="50" w:after="120" w:afterLines="50" w:line="440" w:lineRule="exact"/>
              <w:jc w:val="left"/>
              <w:rPr>
                <w:rFonts w:ascii="宋体" w:hAnsi="宋体" w:cs="宋体"/>
                <w:szCs w:val="21"/>
              </w:rPr>
            </w:pPr>
            <w:r>
              <w:rPr>
                <w:rFonts w:hint="eastAsia" w:ascii="宋体" w:hAnsi="宋体" w:cs="宋体"/>
                <w:szCs w:val="21"/>
              </w:rPr>
              <w:t>采购代理服务费</w:t>
            </w:r>
          </w:p>
        </w:tc>
        <w:tc>
          <w:tcPr>
            <w:tcW w:w="6038" w:type="dxa"/>
            <w:vAlign w:val="center"/>
          </w:tcPr>
          <w:p>
            <w:pPr>
              <w:pageBreakBefore w:val="0"/>
              <w:shd w:val="clear" w:color="auto" w:fill="FFFFFF"/>
              <w:kinsoku/>
              <w:wordWrap/>
              <w:overflowPunct/>
              <w:bidi w:val="0"/>
              <w:adjustRightInd w:val="0"/>
              <w:snapToGrid w:val="0"/>
              <w:spacing w:before="120" w:beforeLines="50" w:after="120" w:afterLines="50" w:line="440" w:lineRule="exact"/>
              <w:jc w:val="left"/>
              <w:rPr>
                <w:rFonts w:ascii="宋体" w:hAnsi="宋体" w:cs="宋体"/>
                <w:szCs w:val="21"/>
              </w:rPr>
            </w:pPr>
            <w:r>
              <w:rPr>
                <w:rFonts w:hint="eastAsia" w:ascii="宋体" w:hAnsi="宋体"/>
                <w:color w:val="000000" w:themeColor="text1"/>
                <w:szCs w:val="21"/>
                <w14:textFill>
                  <w14:solidFill>
                    <w14:schemeClr w14:val="tx1"/>
                  </w14:solidFill>
                </w14:textFill>
              </w:rPr>
              <w:t>本项目代理服务费由采购人支付，代理服务费金额为</w:t>
            </w:r>
            <w:r>
              <w:rPr>
                <w:rFonts w:hint="eastAsia" w:ascii="宋体" w:hAnsi="宋体"/>
                <w:color w:val="000000" w:themeColor="text1"/>
                <w:szCs w:val="21"/>
                <w:lang w:val="en-US" w:eastAsia="zh-CN"/>
                <w14:textFill>
                  <w14:solidFill>
                    <w14:schemeClr w14:val="tx1"/>
                  </w14:solidFill>
                </w14:textFill>
              </w:rPr>
              <w:t>9450元</w:t>
            </w:r>
            <w:r>
              <w:rPr>
                <w:rFonts w:hint="eastAsia" w:ascii="宋体" w:hAnsi="宋体"/>
                <w:color w:val="000000" w:themeColor="text1"/>
                <w:szCs w:val="21"/>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第42.1款</w:t>
            </w:r>
          </w:p>
        </w:tc>
        <w:tc>
          <w:tcPr>
            <w:tcW w:w="1661"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rPr>
              <w:t>企业信用查询</w:t>
            </w:r>
          </w:p>
        </w:tc>
        <w:tc>
          <w:tcPr>
            <w:tcW w:w="6038" w:type="dxa"/>
            <w:vAlign w:val="center"/>
          </w:tcPr>
          <w:p>
            <w:pPr>
              <w:pageBreakBefore w:val="0"/>
              <w:shd w:val="clear" w:color="auto" w:fill="FFFFFF"/>
              <w:kinsoku/>
              <w:wordWrap/>
              <w:overflowPunct/>
              <w:bidi w:val="0"/>
              <w:adjustRightInd w:val="0"/>
              <w:snapToGrid w:val="0"/>
              <w:spacing w:before="120" w:beforeLines="50" w:after="120" w:afterLines="50" w:line="440" w:lineRule="exact"/>
              <w:jc w:val="left"/>
              <w:rPr>
                <w:rFonts w:ascii="宋体" w:hAnsi="宋体" w:cs="宋体"/>
                <w:szCs w:val="21"/>
              </w:rPr>
            </w:pPr>
            <w:r>
              <w:rPr>
                <w:rFonts w:hint="eastAsia" w:ascii="宋体" w:hAnsi="宋体" w:cs="宋体"/>
                <w:szCs w:val="21"/>
              </w:rPr>
              <w:t>根据《湖南省财政厅关于做好政府采购有关信用主体标识码登记及在政府采购活动中查询使用信用记录有关问题的通知》湘财购[2017]2号文要求，对列入失信被执行人、重大税收违法案件当事人名单、政府采购严重违法失信行为记录名单及其他不符合《中华人民共和国政府采购法》第二十二条规定条件的供应商，应当拒绝其参与政府采购活动。</w:t>
            </w:r>
          </w:p>
          <w:p>
            <w:pPr>
              <w:pageBreakBefore w:val="0"/>
              <w:shd w:val="clear" w:color="auto" w:fill="FFFFFF"/>
              <w:kinsoku/>
              <w:wordWrap/>
              <w:overflowPunct/>
              <w:bidi w:val="0"/>
              <w:adjustRightInd w:val="0"/>
              <w:snapToGrid w:val="0"/>
              <w:spacing w:before="120" w:beforeLines="50" w:after="120" w:afterLines="50" w:line="440" w:lineRule="exact"/>
              <w:jc w:val="left"/>
              <w:rPr>
                <w:rFonts w:ascii="宋体" w:hAnsi="宋体" w:cs="宋体"/>
                <w:szCs w:val="21"/>
              </w:rPr>
            </w:pPr>
            <w:r>
              <w:rPr>
                <w:rFonts w:hint="eastAsia" w:ascii="宋体" w:hAnsi="宋体" w:cs="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ageBreakBefore w:val="0"/>
              <w:numPr>
                <w:ilvl w:val="0"/>
                <w:numId w:val="4"/>
              </w:numPr>
              <w:kinsoku/>
              <w:wordWrap/>
              <w:overflowPunct/>
              <w:bidi w:val="0"/>
              <w:adjustRightInd w:val="0"/>
              <w:snapToGrid w:val="0"/>
              <w:spacing w:before="120" w:beforeLines="50" w:line="440" w:lineRule="exact"/>
              <w:rPr>
                <w:rFonts w:ascii="宋体" w:hAnsi="宋体" w:cs="宋体"/>
                <w:szCs w:val="21"/>
              </w:rPr>
            </w:pPr>
            <w:r>
              <w:rPr>
                <w:rFonts w:hint="eastAsia" w:ascii="宋体" w:hAnsi="宋体"/>
                <w:szCs w:val="21"/>
              </w:rPr>
              <w:t>信用信息查询的查询渠道</w:t>
            </w:r>
            <w:r>
              <w:rPr>
                <w:rFonts w:hint="eastAsia" w:ascii="宋体" w:hAnsi="宋体" w:cs="宋体"/>
                <w:szCs w:val="21"/>
              </w:rPr>
              <w:t>：“信用中国”网站（www.creditchina.gov.cn）、中国政府采购网（www.ccgp.gov.cn）。</w:t>
            </w:r>
          </w:p>
          <w:p>
            <w:pPr>
              <w:pageBreakBefore w:val="0"/>
              <w:numPr>
                <w:ilvl w:val="0"/>
                <w:numId w:val="4"/>
              </w:numPr>
              <w:kinsoku/>
              <w:wordWrap/>
              <w:overflowPunct/>
              <w:bidi w:val="0"/>
              <w:adjustRightInd w:val="0"/>
              <w:snapToGrid w:val="0"/>
              <w:spacing w:before="120" w:beforeLines="50" w:line="440" w:lineRule="exact"/>
              <w:rPr>
                <w:rFonts w:ascii="宋体" w:hAnsi="宋体" w:cs="宋体"/>
                <w:szCs w:val="21"/>
              </w:rPr>
            </w:pPr>
            <w:r>
              <w:rPr>
                <w:rFonts w:hint="eastAsia" w:ascii="宋体" w:hAnsi="宋体"/>
                <w:szCs w:val="21"/>
              </w:rPr>
              <w:t>信用信息查询的截止时点</w:t>
            </w:r>
            <w:r>
              <w:rPr>
                <w:rFonts w:hint="eastAsia" w:ascii="宋体" w:hAnsi="宋体" w:cs="宋体"/>
                <w:szCs w:val="21"/>
              </w:rPr>
              <w:t>：至本项目首次响应文件的提交截止时间止。</w:t>
            </w:r>
          </w:p>
          <w:p>
            <w:pPr>
              <w:pageBreakBefore w:val="0"/>
              <w:numPr>
                <w:ilvl w:val="0"/>
                <w:numId w:val="4"/>
              </w:numPr>
              <w:kinsoku/>
              <w:wordWrap/>
              <w:overflowPunct/>
              <w:bidi w:val="0"/>
              <w:adjustRightInd w:val="0"/>
              <w:snapToGrid w:val="0"/>
              <w:spacing w:before="120" w:beforeLines="50" w:line="440" w:lineRule="exact"/>
              <w:rPr>
                <w:rFonts w:ascii="宋体" w:hAnsi="宋体" w:cs="宋体"/>
                <w:szCs w:val="21"/>
              </w:rPr>
            </w:pPr>
            <w:r>
              <w:rPr>
                <w:rFonts w:hint="eastAsia" w:ascii="宋体" w:hAnsi="宋体"/>
                <w:szCs w:val="21"/>
              </w:rPr>
              <w:t>信用信息查询记录的具体方式</w:t>
            </w:r>
            <w:r>
              <w:rPr>
                <w:rFonts w:hint="eastAsia" w:ascii="宋体" w:hAnsi="宋体" w:cs="宋体"/>
                <w:szCs w:val="21"/>
              </w:rPr>
              <w:t>：由采购人或采购代理机构在规定的查询渠道进行查询。</w:t>
            </w:r>
          </w:p>
          <w:p>
            <w:pPr>
              <w:pageBreakBefore w:val="0"/>
              <w:numPr>
                <w:ilvl w:val="0"/>
                <w:numId w:val="4"/>
              </w:numPr>
              <w:kinsoku/>
              <w:wordWrap/>
              <w:overflowPunct/>
              <w:bidi w:val="0"/>
              <w:adjustRightInd w:val="0"/>
              <w:snapToGrid w:val="0"/>
              <w:spacing w:before="120" w:beforeLines="50" w:line="440" w:lineRule="exact"/>
              <w:rPr>
                <w:rFonts w:ascii="宋体" w:hAnsi="宋体" w:cs="宋体"/>
                <w:szCs w:val="21"/>
              </w:rPr>
            </w:pPr>
            <w:r>
              <w:rPr>
                <w:rFonts w:hint="eastAsia" w:ascii="宋体" w:hAnsi="宋体"/>
                <w:szCs w:val="21"/>
              </w:rPr>
              <w:t>信用信息查询记录证据留存的具体方式</w:t>
            </w:r>
            <w:r>
              <w:rPr>
                <w:rFonts w:hint="eastAsia" w:ascii="宋体" w:hAnsi="宋体" w:cs="宋体"/>
                <w:szCs w:val="21"/>
              </w:rPr>
              <w:t>：查询记录的网上打印件。</w:t>
            </w:r>
          </w:p>
          <w:p>
            <w:pPr>
              <w:pageBreakBefore w:val="0"/>
              <w:numPr>
                <w:ilvl w:val="0"/>
                <w:numId w:val="4"/>
              </w:numPr>
              <w:kinsoku/>
              <w:wordWrap/>
              <w:overflowPunct/>
              <w:bidi w:val="0"/>
              <w:adjustRightInd w:val="0"/>
              <w:snapToGrid w:val="0"/>
              <w:spacing w:before="120" w:beforeLines="50" w:line="440" w:lineRule="exact"/>
              <w:rPr>
                <w:rFonts w:ascii="宋体" w:hAnsi="宋体"/>
                <w:b/>
                <w:bCs/>
                <w:i/>
                <w:iCs/>
                <w:szCs w:val="21"/>
              </w:rPr>
            </w:pPr>
            <w:r>
              <w:rPr>
                <w:rFonts w:hint="eastAsia" w:ascii="宋体" w:hAnsi="宋体"/>
                <w:szCs w:val="21"/>
              </w:rPr>
              <w:t>信用信息的使用规则</w:t>
            </w:r>
            <w:r>
              <w:rPr>
                <w:rFonts w:hint="eastAsia" w:ascii="宋体" w:hAnsi="宋体" w:cs="宋体"/>
                <w:szCs w:val="21"/>
              </w:rPr>
              <w:t>：留存备查。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第42.2款</w:t>
            </w:r>
          </w:p>
        </w:tc>
        <w:tc>
          <w:tcPr>
            <w:tcW w:w="1661" w:type="dxa"/>
            <w:vAlign w:val="center"/>
          </w:tcPr>
          <w:p>
            <w:pPr>
              <w:pageBreakBefore w:val="0"/>
              <w:kinsoku/>
              <w:wordWrap/>
              <w:overflowPunct/>
              <w:bidi w:val="0"/>
              <w:adjustRightInd w:val="0"/>
              <w:snapToGrid w:val="0"/>
              <w:spacing w:line="440" w:lineRule="exact"/>
              <w:rPr>
                <w:rFonts w:ascii="宋体" w:hAnsi="宋体"/>
                <w:bCs/>
                <w:szCs w:val="21"/>
              </w:rPr>
            </w:pPr>
            <w:r>
              <w:rPr>
                <w:rFonts w:hint="eastAsia" w:ascii="宋体" w:hAnsi="宋体"/>
                <w:szCs w:val="21"/>
              </w:rPr>
              <w:t>其他规定</w:t>
            </w:r>
          </w:p>
        </w:tc>
        <w:tc>
          <w:tcPr>
            <w:tcW w:w="6038" w:type="dxa"/>
            <w:vAlign w:val="center"/>
          </w:tcPr>
          <w:p>
            <w:pPr>
              <w:pageBreakBefore w:val="0"/>
              <w:kinsoku/>
              <w:wordWrap/>
              <w:overflowPunct/>
              <w:bidi w:val="0"/>
              <w:adjustRightInd w:val="0"/>
              <w:snapToGrid w:val="0"/>
              <w:spacing w:line="440" w:lineRule="exact"/>
              <w:rPr>
                <w:rFonts w:ascii="宋体" w:hAnsi="宋体"/>
                <w:b/>
                <w:szCs w:val="21"/>
              </w:rPr>
            </w:pPr>
            <w:r>
              <w:rPr>
                <w:rFonts w:hint="eastAsia" w:ascii="宋体" w:hAnsi="宋体"/>
                <w:bCs/>
                <w:szCs w:val="21"/>
              </w:rPr>
              <w:t>无</w:t>
            </w:r>
          </w:p>
        </w:tc>
      </w:tr>
    </w:tbl>
    <w:p>
      <w:pPr>
        <w:pageBreakBefore w:val="0"/>
        <w:kinsoku/>
        <w:wordWrap/>
        <w:overflowPunct/>
        <w:bidi w:val="0"/>
        <w:spacing w:line="440" w:lineRule="exact"/>
        <w:sectPr>
          <w:headerReference r:id="rId6" w:type="default"/>
          <w:footerReference r:id="rId7" w:type="default"/>
          <w:pgSz w:w="11906" w:h="16838"/>
          <w:pgMar w:top="1134" w:right="1134" w:bottom="1134" w:left="1134" w:header="510" w:footer="624" w:gutter="0"/>
          <w:pgNumType w:start="1"/>
          <w:cols w:space="720" w:num="1"/>
          <w:docGrid w:linePitch="312" w:charSpace="0"/>
        </w:sectPr>
      </w:pPr>
    </w:p>
    <w:p>
      <w:pPr>
        <w:pageBreakBefore w:val="0"/>
        <w:kinsoku/>
        <w:wordWrap/>
        <w:overflowPunct/>
        <w:bidi w:val="0"/>
        <w:snapToGrid w:val="0"/>
        <w:spacing w:line="440" w:lineRule="exact"/>
        <w:ind w:firstLine="361" w:firstLineChars="100"/>
        <w:textAlignment w:val="baseline"/>
        <w:rPr>
          <w:color w:val="000000" w:themeColor="text1"/>
          <w14:textFill>
            <w14:solidFill>
              <w14:schemeClr w14:val="tx1"/>
            </w14:solidFill>
          </w14:textFill>
        </w:rPr>
      </w:pPr>
      <w:bookmarkStart w:id="5" w:name="_Toc485821379"/>
      <w:bookmarkStart w:id="6" w:name="_Toc17929"/>
      <w:r>
        <w:rPr>
          <w:rFonts w:hint="eastAsia" w:ascii="宋体" w:hAnsi="宋体" w:cs="宋体"/>
          <w:b/>
          <w:bCs/>
          <w:color w:val="000000" w:themeColor="text1"/>
          <w:sz w:val="36"/>
          <w:szCs w:val="36"/>
          <w14:textFill>
            <w14:solidFill>
              <w14:schemeClr w14:val="tx1"/>
            </w14:solidFill>
          </w14:textFill>
        </w:rPr>
        <w:tab/>
      </w:r>
      <w:r>
        <w:rPr>
          <w:rFonts w:hint="eastAsia" w:ascii="宋体" w:hAnsi="宋体" w:cs="宋体"/>
          <w:b/>
          <w:bCs/>
          <w:color w:val="000000" w:themeColor="text1"/>
          <w:sz w:val="36"/>
          <w:szCs w:val="36"/>
          <w14:textFill>
            <w14:solidFill>
              <w14:schemeClr w14:val="tx1"/>
            </w14:solidFill>
          </w14:textFill>
        </w:rPr>
        <w:t xml:space="preserve">            </w:t>
      </w:r>
      <w:r>
        <w:rPr>
          <w:rFonts w:hint="eastAsia" w:ascii="宋体" w:hAnsi="宋体" w:cs="宋体"/>
          <w:b/>
          <w:bCs/>
          <w:color w:val="FF0000"/>
          <w:sz w:val="36"/>
          <w:szCs w:val="36"/>
        </w:rPr>
        <w:t xml:space="preserve">   </w:t>
      </w:r>
      <w:r>
        <w:rPr>
          <w:rFonts w:hint="eastAsia" w:ascii="宋体" w:hAnsi="宋体" w:cs="宋体"/>
          <w:b/>
          <w:bCs/>
          <w:color w:val="0000FF"/>
          <w:sz w:val="36"/>
          <w:szCs w:val="36"/>
        </w:rPr>
        <w:t xml:space="preserve">  </w:t>
      </w:r>
      <w:r>
        <w:rPr>
          <w:rFonts w:hint="eastAsia" w:ascii="宋体" w:hAnsi="宋体" w:cs="宋体"/>
          <w:b/>
          <w:bCs/>
          <w:sz w:val="36"/>
          <w:szCs w:val="36"/>
        </w:rPr>
        <w:t xml:space="preserve"> </w:t>
      </w:r>
      <w:r>
        <w:rPr>
          <w:rFonts w:hint="eastAsia" w:ascii="宋体" w:hAnsi="宋体" w:cs="宋体"/>
          <w:b/>
          <w:bCs/>
          <w:sz w:val="28"/>
          <w:szCs w:val="28"/>
        </w:rPr>
        <w:t>评审因素和标准</w:t>
      </w:r>
      <w:bookmarkEnd w:id="5"/>
      <w:bookmarkEnd w:id="6"/>
    </w:p>
    <w:tbl>
      <w:tblPr>
        <w:tblStyle w:val="31"/>
        <w:tblW w:w="96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36"/>
        <w:gridCol w:w="62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3436" w:type="dxa"/>
            <w:shd w:val="clear" w:color="auto" w:fill="BFBFBF"/>
            <w:vAlign w:val="center"/>
          </w:tcPr>
          <w:p>
            <w:pPr>
              <w:pageBreakBefore w:val="0"/>
              <w:kinsoku/>
              <w:wordWrap/>
              <w:overflowPunct/>
              <w:bidi w:val="0"/>
              <w:adjustRightInd w:val="0"/>
              <w:snapToGrid w:val="0"/>
              <w:spacing w:line="440" w:lineRule="exact"/>
              <w:jc w:val="center"/>
              <w:rPr>
                <w:b/>
                <w:szCs w:val="20"/>
              </w:rPr>
            </w:pPr>
            <w:r>
              <w:rPr>
                <w:rFonts w:hint="eastAsia"/>
                <w:b/>
                <w:szCs w:val="20"/>
              </w:rPr>
              <w:t>评审因素</w:t>
            </w:r>
          </w:p>
        </w:tc>
        <w:tc>
          <w:tcPr>
            <w:tcW w:w="6263" w:type="dxa"/>
            <w:shd w:val="clear" w:color="auto" w:fill="BFBFBF"/>
            <w:vAlign w:val="center"/>
          </w:tcPr>
          <w:p>
            <w:pPr>
              <w:pageBreakBefore w:val="0"/>
              <w:kinsoku/>
              <w:wordWrap/>
              <w:overflowPunct/>
              <w:bidi w:val="0"/>
              <w:adjustRightInd w:val="0"/>
              <w:snapToGrid w:val="0"/>
              <w:spacing w:line="440" w:lineRule="exact"/>
              <w:jc w:val="center"/>
              <w:rPr>
                <w:b/>
                <w:szCs w:val="20"/>
              </w:rPr>
            </w:pPr>
            <w:r>
              <w:rPr>
                <w:rFonts w:hint="eastAsia"/>
                <w:b/>
                <w:szCs w:val="20"/>
              </w:rPr>
              <w:t>权值范围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3436" w:type="dxa"/>
            <w:vAlign w:val="center"/>
          </w:tcPr>
          <w:p>
            <w:pPr>
              <w:pageBreakBefore w:val="0"/>
              <w:kinsoku/>
              <w:wordWrap/>
              <w:overflowPunct/>
              <w:bidi w:val="0"/>
              <w:adjustRightInd w:val="0"/>
              <w:snapToGrid w:val="0"/>
              <w:spacing w:line="440" w:lineRule="exact"/>
              <w:jc w:val="center"/>
              <w:rPr>
                <w:szCs w:val="20"/>
              </w:rPr>
            </w:pPr>
            <w:r>
              <w:rPr>
                <w:rFonts w:hint="eastAsia"/>
                <w:szCs w:val="20"/>
              </w:rPr>
              <w:t>报价部分</w:t>
            </w:r>
          </w:p>
        </w:tc>
        <w:tc>
          <w:tcPr>
            <w:tcW w:w="6263" w:type="dxa"/>
            <w:vAlign w:val="center"/>
          </w:tcPr>
          <w:p>
            <w:pPr>
              <w:pageBreakBefore w:val="0"/>
              <w:kinsoku/>
              <w:wordWrap/>
              <w:overflowPunct/>
              <w:bidi w:val="0"/>
              <w:spacing w:line="440" w:lineRule="exact"/>
              <w:jc w:val="center"/>
              <w:rPr>
                <w:rFonts w:hint="default" w:eastAsia="宋体"/>
                <w:szCs w:val="20"/>
                <w:lang w:val="en-US" w:eastAsia="zh-CN"/>
              </w:rPr>
            </w:pPr>
            <w:r>
              <w:rPr>
                <w:rFonts w:hint="eastAsia" w:ascii="宋体" w:hAnsi="宋体"/>
                <w:szCs w:val="20"/>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3436" w:type="dxa"/>
            <w:vAlign w:val="center"/>
          </w:tcPr>
          <w:p>
            <w:pPr>
              <w:pageBreakBefore w:val="0"/>
              <w:kinsoku/>
              <w:wordWrap/>
              <w:overflowPunct/>
              <w:bidi w:val="0"/>
              <w:adjustRightInd w:val="0"/>
              <w:snapToGrid w:val="0"/>
              <w:spacing w:line="440" w:lineRule="exact"/>
              <w:jc w:val="center"/>
              <w:rPr>
                <w:szCs w:val="20"/>
              </w:rPr>
            </w:pPr>
            <w:r>
              <w:rPr>
                <w:rFonts w:hint="eastAsia"/>
                <w:szCs w:val="20"/>
              </w:rPr>
              <w:t>技术部分</w:t>
            </w:r>
          </w:p>
        </w:tc>
        <w:tc>
          <w:tcPr>
            <w:tcW w:w="6263" w:type="dxa"/>
            <w:vAlign w:val="center"/>
          </w:tcPr>
          <w:p>
            <w:pPr>
              <w:pageBreakBefore w:val="0"/>
              <w:kinsoku/>
              <w:wordWrap/>
              <w:overflowPunct/>
              <w:bidi w:val="0"/>
              <w:spacing w:line="440" w:lineRule="exact"/>
              <w:jc w:val="center"/>
              <w:rPr>
                <w:rFonts w:hint="default" w:eastAsia="宋体"/>
                <w:szCs w:val="20"/>
                <w:lang w:val="en-US" w:eastAsia="zh-CN"/>
              </w:rPr>
            </w:pPr>
            <w:r>
              <w:rPr>
                <w:rFonts w:hint="eastAsia" w:ascii="宋体" w:hAnsi="宋体"/>
                <w:szCs w:val="20"/>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436" w:type="dxa"/>
            <w:vAlign w:val="center"/>
          </w:tcPr>
          <w:p>
            <w:pPr>
              <w:pageBreakBefore w:val="0"/>
              <w:kinsoku/>
              <w:wordWrap/>
              <w:overflowPunct/>
              <w:bidi w:val="0"/>
              <w:adjustRightInd w:val="0"/>
              <w:snapToGrid w:val="0"/>
              <w:spacing w:line="440" w:lineRule="exact"/>
              <w:jc w:val="center"/>
              <w:rPr>
                <w:szCs w:val="20"/>
              </w:rPr>
            </w:pPr>
            <w:r>
              <w:rPr>
                <w:rFonts w:hint="eastAsia"/>
                <w:szCs w:val="20"/>
              </w:rPr>
              <w:t>商务部分</w:t>
            </w:r>
          </w:p>
        </w:tc>
        <w:tc>
          <w:tcPr>
            <w:tcW w:w="6263" w:type="dxa"/>
            <w:vAlign w:val="center"/>
          </w:tcPr>
          <w:p>
            <w:pPr>
              <w:pageBreakBefore w:val="0"/>
              <w:kinsoku/>
              <w:wordWrap/>
              <w:overflowPunct/>
              <w:bidi w:val="0"/>
              <w:spacing w:line="440" w:lineRule="exact"/>
              <w:jc w:val="center"/>
              <w:rPr>
                <w:rFonts w:hint="default" w:eastAsia="宋体"/>
                <w:szCs w:val="20"/>
                <w:lang w:val="en-US" w:eastAsia="zh-CN"/>
              </w:rPr>
            </w:pPr>
            <w:r>
              <w:rPr>
                <w:rFonts w:hint="eastAsia" w:ascii="宋体" w:hAnsi="宋体"/>
                <w:szCs w:val="20"/>
                <w:lang w:val="en-US" w:eastAsia="zh-CN"/>
              </w:rPr>
              <w:t>40</w:t>
            </w:r>
          </w:p>
        </w:tc>
      </w:tr>
    </w:tbl>
    <w:p>
      <w:pPr>
        <w:pStyle w:val="93"/>
        <w:pageBreakBefore w:val="0"/>
        <w:kinsoku/>
        <w:wordWrap/>
        <w:overflowPunct/>
        <w:bidi w:val="0"/>
        <w:spacing w:line="440" w:lineRule="exact"/>
        <w:ind w:firstLine="420"/>
        <w:rPr>
          <w:lang w:val="en-US"/>
        </w:rPr>
      </w:pPr>
    </w:p>
    <w:tbl>
      <w:tblPr>
        <w:tblStyle w:val="31"/>
        <w:tblW w:w="10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138"/>
        <w:gridCol w:w="709"/>
        <w:gridCol w:w="709"/>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75" w:type="dxa"/>
            <w:shd w:val="clear" w:color="auto" w:fill="BEBEBE"/>
            <w:vAlign w:val="center"/>
          </w:tcPr>
          <w:p>
            <w:pPr>
              <w:pageBreakBefore w:val="0"/>
              <w:widowControl/>
              <w:kinsoku/>
              <w:wordWrap/>
              <w:overflowPunct/>
              <w:topLinePunct w:val="0"/>
              <w:autoSpaceDE/>
              <w:autoSpaceDN/>
              <w:bidi w:val="0"/>
              <w:spacing w:line="440" w:lineRule="exact"/>
              <w:jc w:val="center"/>
              <w:textAlignment w:val="auto"/>
              <w:rPr>
                <w:rFonts w:ascii="宋体" w:hAnsi="宋体" w:cs="宋体"/>
                <w:b/>
                <w:bCs/>
                <w:kern w:val="0"/>
                <w:szCs w:val="21"/>
              </w:rPr>
            </w:pPr>
            <w:r>
              <w:rPr>
                <w:rFonts w:hint="eastAsia" w:ascii="宋体" w:hAnsi="宋体" w:cs="宋体"/>
                <w:b/>
                <w:bCs/>
                <w:kern w:val="0"/>
                <w:szCs w:val="21"/>
              </w:rPr>
              <w:t>类别</w:t>
            </w:r>
          </w:p>
        </w:tc>
        <w:tc>
          <w:tcPr>
            <w:tcW w:w="1847" w:type="dxa"/>
            <w:gridSpan w:val="2"/>
            <w:shd w:val="clear" w:color="auto" w:fill="BEBEBE"/>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cs="宋体"/>
                <w:b/>
                <w:bCs/>
                <w:kern w:val="0"/>
                <w:szCs w:val="21"/>
              </w:rPr>
            </w:pPr>
            <w:r>
              <w:rPr>
                <w:rFonts w:hint="eastAsia" w:ascii="宋体" w:hAnsi="宋体" w:cs="宋体"/>
                <w:b/>
                <w:bCs/>
                <w:kern w:val="0"/>
                <w:szCs w:val="21"/>
              </w:rPr>
              <w:t>评审因素</w:t>
            </w:r>
          </w:p>
        </w:tc>
        <w:tc>
          <w:tcPr>
            <w:tcW w:w="709" w:type="dxa"/>
            <w:shd w:val="clear" w:color="auto" w:fill="BEBEBE"/>
            <w:vAlign w:val="center"/>
          </w:tcPr>
          <w:p>
            <w:pPr>
              <w:pageBreakBefore w:val="0"/>
              <w:widowControl/>
              <w:kinsoku/>
              <w:wordWrap/>
              <w:overflowPunct/>
              <w:topLinePunct w:val="0"/>
              <w:autoSpaceDE/>
              <w:autoSpaceDN/>
              <w:bidi w:val="0"/>
              <w:spacing w:line="440" w:lineRule="exact"/>
              <w:jc w:val="center"/>
              <w:textAlignment w:val="auto"/>
              <w:rPr>
                <w:rFonts w:ascii="宋体" w:hAnsi="宋体" w:cs="宋体"/>
                <w:b/>
                <w:bCs/>
                <w:kern w:val="0"/>
                <w:szCs w:val="21"/>
              </w:rPr>
            </w:pPr>
            <w:r>
              <w:rPr>
                <w:rFonts w:hint="eastAsia" w:ascii="宋体" w:hAnsi="宋体" w:cs="宋体"/>
                <w:b/>
                <w:bCs/>
                <w:kern w:val="0"/>
                <w:szCs w:val="21"/>
              </w:rPr>
              <w:t>分值</w:t>
            </w:r>
          </w:p>
        </w:tc>
        <w:tc>
          <w:tcPr>
            <w:tcW w:w="6876" w:type="dxa"/>
            <w:shd w:val="clear" w:color="auto" w:fill="BFBFBF"/>
            <w:vAlign w:val="center"/>
          </w:tcPr>
          <w:p>
            <w:pPr>
              <w:pageBreakBefore w:val="0"/>
              <w:widowControl/>
              <w:kinsoku/>
              <w:wordWrap/>
              <w:overflowPunct/>
              <w:topLinePunct w:val="0"/>
              <w:autoSpaceDE/>
              <w:autoSpaceDN/>
              <w:bidi w:val="0"/>
              <w:spacing w:line="440" w:lineRule="exact"/>
              <w:jc w:val="center"/>
              <w:textAlignment w:val="auto"/>
              <w:rPr>
                <w:rFonts w:ascii="宋体" w:hAnsi="宋体" w:cs="宋体"/>
                <w:b/>
                <w:bCs/>
                <w:kern w:val="0"/>
                <w:szCs w:val="21"/>
              </w:rPr>
            </w:pPr>
            <w:r>
              <w:rPr>
                <w:rFonts w:hint="eastAsia" w:ascii="宋体" w:hAnsi="宋体" w:cs="宋体"/>
                <w:b/>
                <w:bCs/>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jc w:val="center"/>
        </w:trPr>
        <w:tc>
          <w:tcPr>
            <w:tcW w:w="1075" w:type="dxa"/>
            <w:vAlign w:val="center"/>
          </w:tcPr>
          <w:p>
            <w:pPr>
              <w:pageBreakBefore w:val="0"/>
              <w:widowControl/>
              <w:kinsoku/>
              <w:wordWrap/>
              <w:overflowPunct/>
              <w:topLinePunct w:val="0"/>
              <w:autoSpaceDE/>
              <w:autoSpaceDN/>
              <w:bidi w:val="0"/>
              <w:spacing w:line="440" w:lineRule="exact"/>
              <w:jc w:val="center"/>
              <w:textAlignment w:val="auto"/>
              <w:rPr>
                <w:rFonts w:ascii="宋体" w:hAnsi="宋体" w:cs="宋体"/>
                <w:bCs/>
                <w:kern w:val="0"/>
                <w:szCs w:val="21"/>
              </w:rPr>
            </w:pPr>
            <w:r>
              <w:rPr>
                <w:rFonts w:hint="eastAsia" w:ascii="宋体" w:hAnsi="宋体" w:cs="宋体"/>
                <w:bCs/>
                <w:kern w:val="0"/>
                <w:szCs w:val="21"/>
              </w:rPr>
              <w:t>报价部分</w:t>
            </w:r>
          </w:p>
          <w:p>
            <w:pPr>
              <w:pageBreakBefore w:val="0"/>
              <w:widowControl/>
              <w:kinsoku/>
              <w:wordWrap/>
              <w:overflowPunct/>
              <w:topLinePunct w:val="0"/>
              <w:autoSpaceDE/>
              <w:autoSpaceDN/>
              <w:bidi w:val="0"/>
              <w:spacing w:line="440" w:lineRule="exact"/>
              <w:jc w:val="center"/>
              <w:textAlignment w:val="auto"/>
              <w:rPr>
                <w:rFonts w:ascii="宋体" w:hAnsi="宋体" w:cs="宋体"/>
                <w:bCs/>
                <w:kern w:val="0"/>
                <w:szCs w:val="21"/>
              </w:rPr>
            </w:pPr>
            <w:r>
              <w:rPr>
                <w:rFonts w:hint="eastAsia" w:ascii="宋体" w:hAnsi="宋体" w:cs="宋体"/>
                <w:bCs/>
                <w:kern w:val="0"/>
                <w:szCs w:val="21"/>
              </w:rPr>
              <w:t>（</w:t>
            </w:r>
            <w:r>
              <w:rPr>
                <w:rFonts w:hint="eastAsia" w:ascii="宋体" w:hAnsi="宋体" w:cs="宋体"/>
                <w:bCs/>
                <w:kern w:val="0"/>
                <w:szCs w:val="21"/>
                <w:lang w:val="en-US" w:eastAsia="zh-CN"/>
              </w:rPr>
              <w:t>10</w:t>
            </w:r>
            <w:r>
              <w:rPr>
                <w:rFonts w:hint="eastAsia" w:ascii="宋体" w:hAnsi="宋体" w:cs="宋体"/>
                <w:bCs/>
                <w:kern w:val="0"/>
                <w:szCs w:val="21"/>
              </w:rPr>
              <w:t>分）</w:t>
            </w:r>
          </w:p>
        </w:tc>
        <w:tc>
          <w:tcPr>
            <w:tcW w:w="1847" w:type="dxa"/>
            <w:gridSpan w:val="2"/>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cs="宋体"/>
                <w:bCs/>
                <w:kern w:val="0"/>
                <w:szCs w:val="21"/>
                <w:lang w:val="en-US" w:eastAsia="zh-CN"/>
              </w:rPr>
            </w:pPr>
            <w:r>
              <w:rPr>
                <w:rFonts w:hint="eastAsia" w:ascii="宋体" w:hAnsi="宋体" w:cs="宋体"/>
                <w:bCs/>
                <w:kern w:val="0"/>
                <w:szCs w:val="21"/>
              </w:rPr>
              <w:t>投标报价</w:t>
            </w:r>
          </w:p>
        </w:tc>
        <w:tc>
          <w:tcPr>
            <w:tcW w:w="709" w:type="dxa"/>
            <w:vAlign w:val="center"/>
          </w:tcPr>
          <w:p>
            <w:pPr>
              <w:pageBreakBefore w:val="0"/>
              <w:widowControl/>
              <w:kinsoku/>
              <w:wordWrap/>
              <w:overflowPunct/>
              <w:topLinePunct w:val="0"/>
              <w:autoSpaceDE/>
              <w:autoSpaceDN/>
              <w:bidi w:val="0"/>
              <w:spacing w:line="440" w:lineRule="exact"/>
              <w:jc w:val="center"/>
              <w:textAlignment w:val="auto"/>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10</w:t>
            </w:r>
          </w:p>
        </w:tc>
        <w:tc>
          <w:tcPr>
            <w:tcW w:w="6876" w:type="dxa"/>
            <w:vAlign w:val="center"/>
          </w:tcPr>
          <w:p>
            <w:pPr>
              <w:pStyle w:val="5"/>
              <w:pageBreakBefore w:val="0"/>
              <w:kinsoku/>
              <w:wordWrap/>
              <w:overflowPunct/>
              <w:topLinePunct w:val="0"/>
              <w:autoSpaceDE/>
              <w:autoSpaceDN/>
              <w:bidi w:val="0"/>
              <w:spacing w:line="440" w:lineRule="exact"/>
              <w:textAlignment w:val="auto"/>
              <w:rPr>
                <w:rFonts w:hint="eastAsia" w:cs="宋体"/>
                <w:bCs/>
                <w:kern w:val="0"/>
                <w:szCs w:val="21"/>
              </w:rPr>
            </w:pPr>
            <w:r>
              <w:rPr>
                <w:rFonts w:hint="eastAsia" w:cs="宋体"/>
                <w:bCs/>
                <w:kern w:val="0"/>
                <w:szCs w:val="21"/>
                <w:lang w:val="en-US" w:eastAsia="zh-CN"/>
              </w:rPr>
              <w:t>1、</w:t>
            </w:r>
            <w:r>
              <w:rPr>
                <w:rFonts w:hint="eastAsia" w:cs="宋体"/>
                <w:bCs/>
                <w:kern w:val="0"/>
                <w:szCs w:val="21"/>
              </w:rPr>
              <w:t>满足磋商文件要求且最后报价最低（政策优惠后）的供应商的价格为磋商基准价，其价格分为满分。其他供应商的价格分统一按照下列公式计算：磋商报价得分=（磋商基准价/最后磋商报价）×价格权值</w:t>
            </w:r>
          </w:p>
          <w:p>
            <w:pPr>
              <w:spacing w:line="360" w:lineRule="auto"/>
              <w:rPr>
                <w:color w:val="auto"/>
              </w:rPr>
            </w:pPr>
            <w:r>
              <w:rPr>
                <w:rFonts w:hint="eastAsia"/>
                <w:color w:val="auto"/>
              </w:rPr>
              <w:t>2、供应商符合《政府采购促进中小企业发展管理办法》规定的，用扣除后的价格参与评审。</w:t>
            </w:r>
          </w:p>
          <w:p>
            <w:pPr>
              <w:spacing w:line="360" w:lineRule="auto"/>
              <w:rPr>
                <w:rFonts w:hint="eastAsia" w:cs="宋体"/>
                <w:bCs/>
                <w:kern w:val="0"/>
                <w:szCs w:val="21"/>
              </w:rPr>
            </w:pPr>
            <w:r>
              <w:rPr>
                <w:rFonts w:hint="eastAsia"/>
                <w:color w:val="auto"/>
              </w:rPr>
              <w:t>注：价格评审过程中，不得去掉最后报价中的最高报价和最低报价。</w:t>
            </w:r>
          </w:p>
          <w:p>
            <w:pPr>
              <w:pStyle w:val="5"/>
              <w:pageBreakBefore w:val="0"/>
              <w:kinsoku/>
              <w:wordWrap/>
              <w:overflowPunct/>
              <w:topLinePunct w:val="0"/>
              <w:autoSpaceDE/>
              <w:autoSpaceDN/>
              <w:bidi w:val="0"/>
              <w:spacing w:line="440" w:lineRule="exact"/>
              <w:textAlignment w:val="auto"/>
              <w:rPr>
                <w:rFonts w:cs="宋体"/>
                <w:bCs/>
                <w:kern w:val="0"/>
                <w:szCs w:val="21"/>
              </w:rPr>
            </w:pPr>
            <w:r>
              <w:rPr>
                <w:rFonts w:hint="eastAsia" w:cs="宋体"/>
                <w:bCs/>
                <w:kern w:val="0"/>
                <w:szCs w:val="21"/>
              </w:rPr>
              <w:t>备注：根据“财政部令第87号”第六十条的规定: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075" w:type="dxa"/>
            <w:vMerge w:val="restart"/>
            <w:vAlign w:val="center"/>
          </w:tcPr>
          <w:p>
            <w:pPr>
              <w:pageBreakBefore w:val="0"/>
              <w:widowControl/>
              <w:kinsoku/>
              <w:wordWrap/>
              <w:overflowPunct/>
              <w:topLinePunct w:val="0"/>
              <w:autoSpaceDE/>
              <w:autoSpaceDN/>
              <w:bidi w:val="0"/>
              <w:spacing w:line="440" w:lineRule="exact"/>
              <w:jc w:val="center"/>
              <w:textAlignment w:val="auto"/>
              <w:rPr>
                <w:rFonts w:ascii="宋体" w:hAnsi="宋体"/>
                <w:szCs w:val="21"/>
              </w:rPr>
            </w:pPr>
            <w:r>
              <w:rPr>
                <w:rFonts w:hint="eastAsia" w:ascii="宋体" w:hAnsi="宋体"/>
                <w:szCs w:val="21"/>
              </w:rPr>
              <w:t>技术部分</w:t>
            </w:r>
          </w:p>
          <w:p>
            <w:pPr>
              <w:pageBreakBefore w:val="0"/>
              <w:widowControl/>
              <w:kinsoku/>
              <w:wordWrap/>
              <w:overflowPunct/>
              <w:topLinePunct w:val="0"/>
              <w:autoSpaceDE/>
              <w:autoSpaceDN/>
              <w:bidi w:val="0"/>
              <w:spacing w:line="440" w:lineRule="exact"/>
              <w:jc w:val="center"/>
              <w:textAlignment w:val="auto"/>
              <w:rPr>
                <w:rFonts w:ascii="宋体" w:hAnsi="宋体"/>
                <w:b/>
                <w:szCs w:val="21"/>
              </w:rPr>
            </w:pPr>
            <w:r>
              <w:rPr>
                <w:rFonts w:hint="eastAsia" w:ascii="宋体" w:hAnsi="宋体"/>
                <w:szCs w:val="21"/>
              </w:rPr>
              <w:t>（</w:t>
            </w:r>
            <w:r>
              <w:rPr>
                <w:rFonts w:hint="eastAsia" w:ascii="宋体" w:hAnsi="宋体"/>
                <w:szCs w:val="21"/>
                <w:lang w:val="en-US" w:eastAsia="zh-CN"/>
              </w:rPr>
              <w:t>50</w:t>
            </w:r>
            <w:r>
              <w:rPr>
                <w:rFonts w:hint="eastAsia" w:ascii="宋体" w:hAnsi="宋体"/>
                <w:szCs w:val="21"/>
              </w:rPr>
              <w:t>分）</w:t>
            </w:r>
          </w:p>
        </w:tc>
        <w:tc>
          <w:tcPr>
            <w:tcW w:w="1138" w:type="dxa"/>
            <w:vMerge w:val="restart"/>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整体服务方案</w:t>
            </w: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cs="宋体"/>
                <w:kern w:val="0"/>
                <w:szCs w:val="21"/>
                <w:lang w:val="en-US" w:eastAsia="zh-CN" w:bidi="ar"/>
              </w:rPr>
            </w:pPr>
            <w:r>
              <w:rPr>
                <w:rFonts w:hint="eastAsia" w:ascii="宋体" w:hAnsi="宋体" w:cs="宋体"/>
                <w:kern w:val="0"/>
                <w:szCs w:val="21"/>
                <w:lang w:val="en-US" w:eastAsia="zh-CN" w:bidi="ar"/>
              </w:rPr>
              <w:t>需求理解</w:t>
            </w: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7</w:t>
            </w:r>
          </w:p>
        </w:tc>
        <w:tc>
          <w:tcPr>
            <w:tcW w:w="6876" w:type="dxa"/>
            <w:vAlign w:val="center"/>
          </w:tcPr>
          <w:p>
            <w:pPr>
              <w:pageBreakBefore w:val="0"/>
              <w:kinsoku/>
              <w:wordWrap/>
              <w:overflowPunct/>
              <w:topLinePunct w:val="0"/>
              <w:autoSpaceDE/>
              <w:autoSpaceDN/>
              <w:bidi w:val="0"/>
              <w:spacing w:line="440" w:lineRule="exact"/>
              <w:jc w:val="both"/>
              <w:textAlignment w:val="auto"/>
              <w:rPr>
                <w:rFonts w:hint="eastAsia"/>
              </w:rPr>
            </w:pPr>
            <w:r>
              <w:rPr>
                <w:rFonts w:hint="eastAsia"/>
                <w:lang w:val="en-US" w:eastAsia="zh-CN"/>
              </w:rPr>
              <w:t>根据供应商针对本项目的认识理解、</w:t>
            </w:r>
            <w:r>
              <w:rPr>
                <w:rFonts w:hint="eastAsia"/>
              </w:rPr>
              <w:t>项目任务的表述</w:t>
            </w:r>
            <w:r>
              <w:rPr>
                <w:rFonts w:hint="eastAsia"/>
                <w:lang w:val="en-US" w:eastAsia="zh-CN"/>
              </w:rPr>
              <w:t>等对</w:t>
            </w:r>
            <w:r>
              <w:rPr>
                <w:rFonts w:hint="eastAsia"/>
              </w:rPr>
              <w:t>采购人需求</w:t>
            </w:r>
            <w:r>
              <w:rPr>
                <w:rFonts w:hint="eastAsia"/>
                <w:lang w:val="en-US" w:eastAsia="zh-CN"/>
              </w:rPr>
              <w:t>理解透彻</w:t>
            </w:r>
            <w:r>
              <w:rPr>
                <w:rFonts w:hint="eastAsia"/>
              </w:rPr>
              <w:t>的计</w:t>
            </w:r>
            <w:r>
              <w:rPr>
                <w:rFonts w:hint="eastAsia"/>
                <w:lang w:val="en-US" w:eastAsia="zh-CN"/>
              </w:rPr>
              <w:t>7</w:t>
            </w:r>
            <w:r>
              <w:rPr>
                <w:rFonts w:hint="eastAsia"/>
              </w:rPr>
              <w:t>分，被认定为</w:t>
            </w:r>
            <w:r>
              <w:rPr>
                <w:rFonts w:hint="eastAsia"/>
                <w:lang w:val="en-US" w:eastAsia="zh-CN"/>
              </w:rPr>
              <w:t>不合理</w:t>
            </w:r>
            <w:r>
              <w:rPr>
                <w:rFonts w:hint="eastAsia"/>
              </w:rPr>
              <w:t>或</w:t>
            </w:r>
            <w:r>
              <w:rPr>
                <w:rFonts w:hint="eastAsia"/>
                <w:lang w:val="en-US" w:eastAsia="zh-CN"/>
              </w:rPr>
              <w:t>没有操作性</w:t>
            </w:r>
            <w:r>
              <w:rPr>
                <w:rFonts w:hint="eastAsia"/>
              </w:rPr>
              <w:t>的每条扣</w:t>
            </w:r>
            <w:r>
              <w:rPr>
                <w:rFonts w:hint="eastAsia"/>
                <w:lang w:val="en-US" w:eastAsia="zh-CN"/>
              </w:rPr>
              <w:t>1.5</w:t>
            </w:r>
            <w:r>
              <w:rPr>
                <w:rFonts w:hint="eastAsia"/>
              </w:rPr>
              <w:t>分，扣完为止</w:t>
            </w:r>
            <w:r>
              <w:rPr>
                <w:rFonts w:hint="eastAsia"/>
                <w:lang w:eastAsia="zh-CN"/>
              </w:rPr>
              <w:t>；</w:t>
            </w:r>
            <w:r>
              <w:rPr>
                <w:rFonts w:hint="eastAsia"/>
                <w:lang w:val="en-US" w:eastAsia="zh-CN"/>
              </w:rPr>
              <w:t>未提供此项内容不计分。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szCs w:val="21"/>
              </w:rPr>
            </w:pPr>
          </w:p>
        </w:tc>
        <w:tc>
          <w:tcPr>
            <w:tcW w:w="1138" w:type="dxa"/>
            <w:vMerge w:val="continue"/>
            <w:vAlign w:val="center"/>
          </w:tcPr>
          <w:p>
            <w:pPr>
              <w:pageBreakBefore w:val="0"/>
              <w:kinsoku/>
              <w:wordWrap/>
              <w:overflowPunct/>
              <w:topLinePunct w:val="0"/>
              <w:autoSpaceDE/>
              <w:autoSpaceDN/>
              <w:bidi w:val="0"/>
              <w:spacing w:line="440" w:lineRule="exact"/>
              <w:jc w:val="center"/>
              <w:textAlignment w:val="auto"/>
              <w:rPr>
                <w:rFonts w:hint="eastAsia" w:ascii="宋体" w:hAnsi="宋体" w:cs="宋体"/>
                <w:kern w:val="0"/>
                <w:szCs w:val="21"/>
                <w:lang w:val="en-US" w:eastAsia="zh-CN" w:bidi="ar"/>
              </w:rPr>
            </w:pP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实施方案</w:t>
            </w: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cs="宋体"/>
                <w:kern w:val="0"/>
                <w:szCs w:val="21"/>
                <w:lang w:val="en-US" w:eastAsia="zh-CN" w:bidi="ar"/>
              </w:rPr>
            </w:pPr>
            <w:r>
              <w:rPr>
                <w:rFonts w:hint="eastAsia" w:ascii="宋体" w:hAnsi="宋体" w:cs="宋体"/>
                <w:kern w:val="0"/>
                <w:szCs w:val="21"/>
                <w:lang w:val="en-US" w:eastAsia="zh-CN" w:bidi="ar"/>
              </w:rPr>
              <w:t>7</w:t>
            </w:r>
          </w:p>
        </w:tc>
        <w:tc>
          <w:tcPr>
            <w:tcW w:w="6876" w:type="dxa"/>
            <w:vAlign w:val="center"/>
          </w:tcPr>
          <w:p>
            <w:pPr>
              <w:pageBreakBefore w:val="0"/>
              <w:kinsoku/>
              <w:wordWrap/>
              <w:overflowPunct/>
              <w:topLinePunct w:val="0"/>
              <w:autoSpaceDE/>
              <w:autoSpaceDN/>
              <w:bidi w:val="0"/>
              <w:spacing w:line="440" w:lineRule="exact"/>
              <w:jc w:val="both"/>
              <w:textAlignment w:val="auto"/>
              <w:rPr>
                <w:rFonts w:hint="default" w:ascii="宋体" w:hAnsi="宋体" w:eastAsia="宋体" w:cs="宋体"/>
                <w:kern w:val="0"/>
                <w:szCs w:val="21"/>
                <w:lang w:val="en-US" w:eastAsia="zh-CN" w:bidi="ar"/>
              </w:rPr>
            </w:pPr>
            <w:r>
              <w:rPr>
                <w:rFonts w:hint="eastAsia"/>
                <w:lang w:val="en-US" w:eastAsia="zh-CN"/>
              </w:rPr>
              <w:t>根据供应商提供的实施方案针对本项目的整体设想及文案策划、制作与</w:t>
            </w:r>
            <w:r>
              <w:rPr>
                <w:rFonts w:hint="eastAsia" w:ascii="宋体" w:hAnsi="宋体" w:cs="宋体"/>
                <w:color w:val="000000" w:themeColor="text1"/>
                <w:kern w:val="0"/>
                <w:szCs w:val="21"/>
                <w14:textFill>
                  <w14:solidFill>
                    <w14:schemeClr w14:val="tx1"/>
                  </w14:solidFill>
                </w14:textFill>
              </w:rPr>
              <w:t>项目切合程度</w:t>
            </w:r>
            <w:r>
              <w:rPr>
                <w:rFonts w:hint="eastAsia" w:ascii="宋体" w:hAnsi="宋体" w:cs="宋体"/>
                <w:color w:val="000000" w:themeColor="text1"/>
                <w:kern w:val="0"/>
                <w:szCs w:val="21"/>
                <w:lang w:val="en-US" w:eastAsia="zh-CN"/>
                <w14:textFill>
                  <w14:solidFill>
                    <w14:schemeClr w14:val="tx1"/>
                  </w14:solidFill>
                </w14:textFill>
              </w:rPr>
              <w:t>等合理、</w:t>
            </w:r>
            <w:r>
              <w:rPr>
                <w:rFonts w:hint="eastAsia" w:ascii="宋体" w:hAnsi="宋体"/>
                <w:szCs w:val="21"/>
              </w:rPr>
              <w:t>可行且有操作性的计</w:t>
            </w:r>
            <w:r>
              <w:rPr>
                <w:rFonts w:hint="eastAsia" w:ascii="宋体" w:hAnsi="宋体"/>
                <w:szCs w:val="21"/>
                <w:lang w:val="en-US" w:eastAsia="zh-CN"/>
              </w:rPr>
              <w:t>7分，</w:t>
            </w:r>
            <w:r>
              <w:rPr>
                <w:rFonts w:hint="eastAsia"/>
              </w:rPr>
              <w:t>被认定为</w:t>
            </w:r>
            <w:r>
              <w:rPr>
                <w:rFonts w:hint="eastAsia"/>
                <w:lang w:val="en-US" w:eastAsia="zh-CN"/>
              </w:rPr>
              <w:t>不合理</w:t>
            </w:r>
            <w:r>
              <w:rPr>
                <w:rFonts w:hint="eastAsia"/>
              </w:rPr>
              <w:t>或</w:t>
            </w:r>
            <w:r>
              <w:rPr>
                <w:rFonts w:hint="eastAsia"/>
                <w:lang w:val="en-US" w:eastAsia="zh-CN"/>
              </w:rPr>
              <w:t>没有操作性</w:t>
            </w:r>
            <w:r>
              <w:rPr>
                <w:rFonts w:hint="eastAsia"/>
              </w:rPr>
              <w:t>的每条扣</w:t>
            </w:r>
            <w:r>
              <w:rPr>
                <w:rFonts w:hint="eastAsia"/>
                <w:lang w:val="en-US" w:eastAsia="zh-CN"/>
              </w:rPr>
              <w:t>1.5</w:t>
            </w:r>
            <w:r>
              <w:rPr>
                <w:rFonts w:hint="eastAsia"/>
              </w:rPr>
              <w:t>分，扣完为止</w:t>
            </w:r>
            <w:r>
              <w:rPr>
                <w:rFonts w:hint="eastAsia"/>
                <w:lang w:eastAsia="zh-CN"/>
              </w:rPr>
              <w:t>；</w:t>
            </w:r>
            <w:r>
              <w:rPr>
                <w:rFonts w:hint="eastAsia"/>
                <w:lang w:val="en-US" w:eastAsia="zh-CN"/>
              </w:rPr>
              <w:t>未提供此项内容不计分。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szCs w:val="21"/>
              </w:rPr>
            </w:pPr>
          </w:p>
        </w:tc>
        <w:tc>
          <w:tcPr>
            <w:tcW w:w="1138" w:type="dxa"/>
            <w:vMerge w:val="continue"/>
            <w:vAlign w:val="center"/>
          </w:tcPr>
          <w:p>
            <w:pPr>
              <w:pageBreakBefore w:val="0"/>
              <w:kinsoku/>
              <w:wordWrap/>
              <w:overflowPunct/>
              <w:topLinePunct w:val="0"/>
              <w:autoSpaceDE/>
              <w:autoSpaceDN/>
              <w:bidi w:val="0"/>
              <w:spacing w:line="440" w:lineRule="exact"/>
              <w:jc w:val="center"/>
              <w:textAlignment w:val="auto"/>
              <w:rPr>
                <w:rFonts w:hint="eastAsia" w:ascii="宋体" w:hAnsi="宋体" w:cs="宋体"/>
                <w:kern w:val="0"/>
                <w:szCs w:val="21"/>
                <w:lang w:val="en-US" w:eastAsia="zh-CN" w:bidi="ar"/>
              </w:rPr>
            </w:pP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 w:val="21"/>
                <w:szCs w:val="21"/>
                <w:lang w:val="en-US" w:eastAsia="zh-CN" w:bidi="ar"/>
              </w:rPr>
            </w:pPr>
            <w:r>
              <w:rPr>
                <w:rFonts w:hint="eastAsia" w:ascii="宋体" w:hAnsi="宋体" w:cs="宋体"/>
                <w:kern w:val="0"/>
                <w:szCs w:val="21"/>
                <w:lang w:val="en-US" w:eastAsia="zh-CN" w:bidi="ar"/>
              </w:rPr>
              <w:t>工作计划流程</w:t>
            </w: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 w:val="21"/>
                <w:szCs w:val="21"/>
                <w:lang w:val="en-US" w:eastAsia="zh-CN" w:bidi="ar"/>
              </w:rPr>
            </w:pPr>
            <w:r>
              <w:rPr>
                <w:rFonts w:hint="eastAsia" w:ascii="宋体" w:hAnsi="宋体" w:cs="宋体"/>
                <w:kern w:val="0"/>
                <w:szCs w:val="21"/>
                <w:lang w:val="en-US" w:eastAsia="zh-CN" w:bidi="ar"/>
              </w:rPr>
              <w:t>7</w:t>
            </w:r>
          </w:p>
        </w:tc>
        <w:tc>
          <w:tcPr>
            <w:tcW w:w="6876" w:type="dxa"/>
            <w:vAlign w:val="center"/>
          </w:tcPr>
          <w:p>
            <w:pPr>
              <w:pageBreakBefore w:val="0"/>
              <w:kinsoku/>
              <w:wordWrap/>
              <w:overflowPunct/>
              <w:topLinePunct w:val="0"/>
              <w:autoSpaceDE/>
              <w:autoSpaceDN/>
              <w:bidi w:val="0"/>
              <w:spacing w:line="440" w:lineRule="exact"/>
              <w:jc w:val="both"/>
              <w:textAlignment w:val="auto"/>
              <w:rPr>
                <w:rFonts w:hint="default" w:ascii="宋体" w:hAnsi="宋体" w:eastAsia="宋体" w:cs="宋体"/>
                <w:kern w:val="0"/>
                <w:sz w:val="21"/>
                <w:szCs w:val="21"/>
                <w:lang w:val="en-US" w:eastAsia="zh-CN" w:bidi="ar"/>
              </w:rPr>
            </w:pPr>
            <w:r>
              <w:rPr>
                <w:rFonts w:hint="eastAsia" w:ascii="宋体" w:hAnsi="宋体" w:cs="宋体"/>
                <w:color w:val="000000" w:themeColor="text1"/>
                <w:szCs w:val="21"/>
                <w14:textFill>
                  <w14:solidFill>
                    <w14:schemeClr w14:val="tx1"/>
                  </w14:solidFill>
                </w14:textFill>
              </w:rPr>
              <w:t>根据项目情况制定针对本项目的工作进度</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计划安排及任务划分</w:t>
            </w:r>
            <w:r>
              <w:rPr>
                <w:rFonts w:hint="eastAsia" w:ascii="宋体" w:hAnsi="宋体" w:cs="宋体"/>
                <w:color w:val="000000" w:themeColor="text1"/>
                <w:szCs w:val="21"/>
                <w:lang w:val="en-US" w:eastAsia="zh-CN"/>
                <w14:textFill>
                  <w14:solidFill>
                    <w14:schemeClr w14:val="tx1"/>
                  </w14:solidFill>
                </w14:textFill>
              </w:rPr>
              <w:t>等合理、可行且有操作性的计7分，</w:t>
            </w:r>
            <w:r>
              <w:rPr>
                <w:rFonts w:hint="eastAsia"/>
              </w:rPr>
              <w:t>被认定为</w:t>
            </w:r>
            <w:r>
              <w:rPr>
                <w:rFonts w:hint="eastAsia"/>
                <w:lang w:val="en-US" w:eastAsia="zh-CN"/>
              </w:rPr>
              <w:t>不合理</w:t>
            </w:r>
            <w:r>
              <w:rPr>
                <w:rFonts w:hint="eastAsia"/>
              </w:rPr>
              <w:t>或</w:t>
            </w:r>
            <w:r>
              <w:rPr>
                <w:rFonts w:hint="eastAsia"/>
                <w:lang w:val="en-US" w:eastAsia="zh-CN"/>
              </w:rPr>
              <w:t>没有操作性</w:t>
            </w:r>
            <w:r>
              <w:rPr>
                <w:rFonts w:hint="eastAsia"/>
              </w:rPr>
              <w:t>的每条扣</w:t>
            </w:r>
            <w:r>
              <w:rPr>
                <w:rFonts w:hint="eastAsia"/>
                <w:lang w:val="en-US" w:eastAsia="zh-CN"/>
              </w:rPr>
              <w:t>1.5</w:t>
            </w:r>
            <w:r>
              <w:rPr>
                <w:rFonts w:hint="eastAsia"/>
              </w:rPr>
              <w:t>分，扣完为止</w:t>
            </w:r>
            <w:r>
              <w:rPr>
                <w:rFonts w:hint="eastAsia"/>
                <w:lang w:eastAsia="zh-CN"/>
              </w:rPr>
              <w:t>；</w:t>
            </w:r>
            <w:r>
              <w:rPr>
                <w:rFonts w:hint="eastAsia"/>
                <w:lang w:val="en-US" w:eastAsia="zh-CN"/>
              </w:rPr>
              <w:t>未提供此项内容不计分。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szCs w:val="21"/>
              </w:rPr>
            </w:pPr>
          </w:p>
        </w:tc>
        <w:tc>
          <w:tcPr>
            <w:tcW w:w="1138" w:type="dxa"/>
            <w:vMerge w:val="continue"/>
            <w:vAlign w:val="center"/>
          </w:tcPr>
          <w:p>
            <w:pPr>
              <w:pageBreakBefore w:val="0"/>
              <w:kinsoku/>
              <w:wordWrap/>
              <w:overflowPunct/>
              <w:topLinePunct w:val="0"/>
              <w:autoSpaceDE/>
              <w:autoSpaceDN/>
              <w:bidi w:val="0"/>
              <w:spacing w:line="440" w:lineRule="exact"/>
              <w:jc w:val="center"/>
              <w:textAlignment w:val="auto"/>
              <w:rPr>
                <w:rFonts w:hint="eastAsia" w:ascii="宋体" w:hAnsi="宋体" w:cs="宋体"/>
                <w:kern w:val="0"/>
                <w:szCs w:val="21"/>
                <w:lang w:val="en-US" w:eastAsia="zh-CN" w:bidi="ar"/>
              </w:rPr>
            </w:pP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 w:val="21"/>
                <w:szCs w:val="21"/>
                <w:lang w:val="en-US" w:eastAsia="zh-CN" w:bidi="ar"/>
              </w:rPr>
            </w:pPr>
            <w:r>
              <w:rPr>
                <w:rFonts w:hint="eastAsia" w:ascii="宋体" w:hAnsi="宋体" w:cs="宋体"/>
                <w:kern w:val="0"/>
                <w:szCs w:val="21"/>
                <w:lang w:val="en-US" w:eastAsia="zh-CN" w:bidi="ar"/>
              </w:rPr>
              <w:t>人员配备</w:t>
            </w: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 w:val="21"/>
                <w:szCs w:val="21"/>
                <w:lang w:val="en-US" w:eastAsia="zh-CN" w:bidi="ar"/>
              </w:rPr>
            </w:pPr>
            <w:r>
              <w:rPr>
                <w:rFonts w:hint="eastAsia" w:ascii="宋体" w:hAnsi="宋体" w:cs="宋体"/>
                <w:kern w:val="0"/>
                <w:szCs w:val="21"/>
                <w:lang w:val="en-US" w:eastAsia="zh-CN" w:bidi="ar"/>
              </w:rPr>
              <w:t>7</w:t>
            </w:r>
          </w:p>
        </w:tc>
        <w:tc>
          <w:tcPr>
            <w:tcW w:w="6876" w:type="dxa"/>
            <w:vAlign w:val="center"/>
          </w:tcPr>
          <w:p>
            <w:pPr>
              <w:pageBreakBefore w:val="0"/>
              <w:kinsoku/>
              <w:wordWrap/>
              <w:overflowPunct/>
              <w:topLinePunct w:val="0"/>
              <w:autoSpaceDE/>
              <w:autoSpaceDN/>
              <w:bidi w:val="0"/>
              <w:spacing w:line="440" w:lineRule="exact"/>
              <w:jc w:val="both"/>
              <w:textAlignment w:val="auto"/>
              <w:rPr>
                <w:rFonts w:hint="eastAsia" w:ascii="宋体" w:hAnsi="宋体" w:eastAsia="宋体" w:cs="宋体"/>
                <w:kern w:val="0"/>
                <w:sz w:val="21"/>
                <w:szCs w:val="21"/>
                <w:lang w:val="en-US" w:eastAsia="zh-CN" w:bidi="ar"/>
              </w:rPr>
            </w:pPr>
            <w:r>
              <w:rPr>
                <w:rFonts w:hint="eastAsia" w:ascii="宋体" w:hAnsi="宋体" w:cs="宋体"/>
                <w:color w:val="000000" w:themeColor="text1"/>
                <w:szCs w:val="21"/>
                <w14:textFill>
                  <w14:solidFill>
                    <w14:schemeClr w14:val="tx1"/>
                  </w14:solidFill>
                </w14:textFill>
              </w:rPr>
              <w:t>对拟投入本项目的</w:t>
            </w:r>
            <w:r>
              <w:rPr>
                <w:rFonts w:hint="eastAsia" w:ascii="宋体" w:hAnsi="宋体" w:cs="宋体"/>
                <w:color w:val="000000" w:themeColor="text1"/>
                <w:szCs w:val="21"/>
                <w:lang w:val="en-US" w:eastAsia="zh-CN"/>
                <w14:textFill>
                  <w14:solidFill>
                    <w14:schemeClr w14:val="tx1"/>
                  </w14:solidFill>
                </w14:textFill>
              </w:rPr>
              <w:t>人员配备</w:t>
            </w:r>
            <w:r>
              <w:rPr>
                <w:rFonts w:hint="eastAsia" w:ascii="宋体" w:hAnsi="宋体" w:cs="宋体"/>
                <w:color w:val="000000" w:themeColor="text1"/>
                <w:szCs w:val="21"/>
                <w14:textFill>
                  <w14:solidFill>
                    <w14:schemeClr w14:val="tx1"/>
                  </w14:solidFill>
                </w14:textFill>
              </w:rPr>
              <w:t>情况的合理性，人员</w:t>
            </w:r>
            <w:r>
              <w:rPr>
                <w:rFonts w:hint="eastAsia" w:ascii="宋体" w:hAnsi="宋体" w:cs="宋体"/>
                <w:color w:val="000000" w:themeColor="text1"/>
                <w:szCs w:val="21"/>
                <w:lang w:val="en-US" w:eastAsia="zh-CN"/>
                <w14:textFill>
                  <w14:solidFill>
                    <w14:schemeClr w14:val="tx1"/>
                  </w14:solidFill>
                </w14:textFill>
              </w:rPr>
              <w:t>配备、分工等合理、可行且有操作性的计7分，</w:t>
            </w:r>
            <w:r>
              <w:rPr>
                <w:rFonts w:hint="eastAsia"/>
              </w:rPr>
              <w:t>被认定为</w:t>
            </w:r>
            <w:r>
              <w:rPr>
                <w:rFonts w:hint="eastAsia"/>
                <w:lang w:val="en-US" w:eastAsia="zh-CN"/>
              </w:rPr>
              <w:t>不合理</w:t>
            </w:r>
            <w:r>
              <w:rPr>
                <w:rFonts w:hint="eastAsia"/>
              </w:rPr>
              <w:t>或</w:t>
            </w:r>
            <w:r>
              <w:rPr>
                <w:rFonts w:hint="eastAsia"/>
                <w:lang w:val="en-US" w:eastAsia="zh-CN"/>
              </w:rPr>
              <w:t>没有操作性</w:t>
            </w:r>
            <w:r>
              <w:rPr>
                <w:rFonts w:hint="eastAsia"/>
              </w:rPr>
              <w:t>的每条扣</w:t>
            </w:r>
            <w:r>
              <w:rPr>
                <w:rFonts w:hint="eastAsia"/>
                <w:lang w:val="en-US" w:eastAsia="zh-CN"/>
              </w:rPr>
              <w:t>1.5</w:t>
            </w:r>
            <w:r>
              <w:rPr>
                <w:rFonts w:hint="eastAsia"/>
              </w:rPr>
              <w:t>分，扣完为止</w:t>
            </w:r>
            <w:r>
              <w:rPr>
                <w:rFonts w:hint="eastAsia"/>
                <w:lang w:eastAsia="zh-CN"/>
              </w:rPr>
              <w:t>；</w:t>
            </w:r>
            <w:r>
              <w:rPr>
                <w:rFonts w:hint="eastAsia"/>
                <w:lang w:val="en-US" w:eastAsia="zh-CN"/>
              </w:rPr>
              <w:t>未提供此项内容不计分。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szCs w:val="21"/>
              </w:rPr>
            </w:pPr>
          </w:p>
        </w:tc>
        <w:tc>
          <w:tcPr>
            <w:tcW w:w="1138" w:type="dxa"/>
            <w:vMerge w:val="continue"/>
            <w:vAlign w:val="center"/>
          </w:tcPr>
          <w:p>
            <w:pPr>
              <w:pageBreakBefore w:val="0"/>
              <w:kinsoku/>
              <w:wordWrap/>
              <w:overflowPunct/>
              <w:topLinePunct w:val="0"/>
              <w:autoSpaceDE/>
              <w:autoSpaceDN/>
              <w:bidi w:val="0"/>
              <w:spacing w:line="440" w:lineRule="exact"/>
              <w:jc w:val="center"/>
              <w:textAlignment w:val="auto"/>
              <w:rPr>
                <w:rFonts w:hint="eastAsia" w:ascii="宋体" w:hAnsi="宋体" w:cs="宋体"/>
                <w:kern w:val="0"/>
                <w:szCs w:val="21"/>
                <w:lang w:val="en-US" w:eastAsia="zh-CN" w:bidi="ar"/>
              </w:rPr>
            </w:pP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服务质量保障</w:t>
            </w: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cs="宋体"/>
                <w:kern w:val="0"/>
                <w:szCs w:val="21"/>
                <w:lang w:val="en-US" w:eastAsia="zh-CN" w:bidi="ar"/>
              </w:rPr>
            </w:pPr>
            <w:r>
              <w:rPr>
                <w:rFonts w:hint="eastAsia" w:ascii="宋体" w:hAnsi="宋体" w:cs="宋体"/>
                <w:kern w:val="0"/>
                <w:szCs w:val="21"/>
                <w:lang w:val="en-US" w:eastAsia="zh-CN" w:bidi="ar"/>
              </w:rPr>
              <w:t>7</w:t>
            </w:r>
          </w:p>
        </w:tc>
        <w:tc>
          <w:tcPr>
            <w:tcW w:w="6876" w:type="dxa"/>
            <w:vAlign w:val="center"/>
          </w:tcPr>
          <w:p>
            <w:pPr>
              <w:snapToGrid w:val="0"/>
              <w:spacing w:line="400" w:lineRule="exact"/>
              <w:jc w:val="left"/>
              <w:rPr>
                <w:rFonts w:hint="default"/>
                <w:lang w:val="en-US" w:eastAsia="zh-CN"/>
              </w:rPr>
            </w:pPr>
            <w:r>
              <w:rPr>
                <w:rFonts w:hint="eastAsia" w:ascii="宋体" w:hAnsi="宋体" w:cs="宋体"/>
                <w:color w:val="000000" w:themeColor="text1"/>
                <w:szCs w:val="21"/>
                <w14:textFill>
                  <w14:solidFill>
                    <w14:schemeClr w14:val="tx1"/>
                  </w14:solidFill>
                </w14:textFill>
              </w:rPr>
              <w:t>根据项目情况制定针对本项目的服务质量保证措施</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服务范围、服务标准等合理、可行且有操作性的计7分，</w:t>
            </w:r>
            <w:r>
              <w:rPr>
                <w:rFonts w:hint="eastAsia"/>
              </w:rPr>
              <w:t>被认定为</w:t>
            </w:r>
            <w:r>
              <w:rPr>
                <w:rFonts w:hint="eastAsia"/>
                <w:lang w:val="en-US" w:eastAsia="zh-CN"/>
              </w:rPr>
              <w:t>不合理</w:t>
            </w:r>
            <w:r>
              <w:rPr>
                <w:rFonts w:hint="eastAsia"/>
              </w:rPr>
              <w:t>或</w:t>
            </w:r>
            <w:r>
              <w:rPr>
                <w:rFonts w:hint="eastAsia"/>
                <w:lang w:val="en-US" w:eastAsia="zh-CN"/>
              </w:rPr>
              <w:t>没有操作性</w:t>
            </w:r>
            <w:r>
              <w:rPr>
                <w:rFonts w:hint="eastAsia"/>
              </w:rPr>
              <w:t>的每条扣</w:t>
            </w:r>
            <w:r>
              <w:rPr>
                <w:rFonts w:hint="eastAsia"/>
                <w:lang w:val="en-US" w:eastAsia="zh-CN"/>
              </w:rPr>
              <w:t>1.5</w:t>
            </w:r>
            <w:r>
              <w:rPr>
                <w:rFonts w:hint="eastAsia"/>
              </w:rPr>
              <w:t>分，扣完为止</w:t>
            </w:r>
            <w:r>
              <w:rPr>
                <w:rFonts w:hint="eastAsia"/>
                <w:lang w:eastAsia="zh-CN"/>
              </w:rPr>
              <w:t>；</w:t>
            </w:r>
            <w:r>
              <w:rPr>
                <w:rFonts w:hint="eastAsia"/>
                <w:lang w:val="en-US" w:eastAsia="zh-CN"/>
              </w:rPr>
              <w:t>未提供此项内容不计分。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szCs w:val="21"/>
              </w:rPr>
            </w:pPr>
          </w:p>
        </w:tc>
        <w:tc>
          <w:tcPr>
            <w:tcW w:w="1847" w:type="dxa"/>
            <w:gridSpan w:val="2"/>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策划展示</w:t>
            </w:r>
          </w:p>
        </w:tc>
        <w:tc>
          <w:tcPr>
            <w:tcW w:w="709" w:type="dxa"/>
            <w:vAlign w:val="center"/>
          </w:tcPr>
          <w:p>
            <w:pPr>
              <w:pageBreakBefore w:val="0"/>
              <w:kinsoku/>
              <w:wordWrap/>
              <w:overflowPunct/>
              <w:topLinePunct w:val="0"/>
              <w:autoSpaceDE/>
              <w:autoSpaceDN/>
              <w:bidi w:val="0"/>
              <w:spacing w:line="440" w:lineRule="exact"/>
              <w:jc w:val="center"/>
              <w:textAlignment w:val="auto"/>
              <w:rPr>
                <w:rFonts w:hint="eastAsia" w:ascii="宋体" w:hAnsi="宋体" w:cs="宋体"/>
                <w:kern w:val="0"/>
                <w:szCs w:val="21"/>
                <w:lang w:val="en-US" w:eastAsia="zh-CN" w:bidi="ar"/>
              </w:rPr>
            </w:pPr>
            <w:r>
              <w:rPr>
                <w:rFonts w:hint="eastAsia" w:ascii="宋体" w:hAnsi="宋体" w:cs="宋体"/>
                <w:kern w:val="0"/>
                <w:szCs w:val="21"/>
                <w:lang w:val="en-US" w:eastAsia="zh-CN" w:bidi="ar"/>
              </w:rPr>
              <w:t>15</w:t>
            </w:r>
          </w:p>
        </w:tc>
        <w:tc>
          <w:tcPr>
            <w:tcW w:w="6876" w:type="dxa"/>
            <w:vAlign w:val="center"/>
          </w:tcPr>
          <w:p>
            <w:pPr>
              <w:pageBreakBefore w:val="0"/>
              <w:kinsoku/>
              <w:wordWrap/>
              <w:overflowPunct/>
              <w:topLinePunct w:val="0"/>
              <w:autoSpaceDE/>
              <w:autoSpaceDN/>
              <w:bidi w:val="0"/>
              <w:spacing w:line="440" w:lineRule="exact"/>
              <w:jc w:val="both"/>
              <w:textAlignment w:val="auto"/>
              <w:rPr>
                <w:rFonts w:hint="eastAsia" w:ascii="宋体" w:hAnsi="宋体" w:cs="宋体"/>
                <w:kern w:val="0"/>
                <w:szCs w:val="21"/>
                <w:lang w:bidi="ar"/>
              </w:rPr>
            </w:pPr>
            <w:r>
              <w:rPr>
                <w:rFonts w:hint="eastAsia" w:ascii="宋体" w:hAnsi="宋体" w:cs="宋体"/>
                <w:kern w:val="0"/>
                <w:szCs w:val="21"/>
                <w:lang w:val="en-US" w:eastAsia="zh-CN" w:bidi="ar"/>
              </w:rPr>
              <w:t>供应商根据本项目采购需求制作“4+4科创工程”专题片具体拍摄文案脚本，文案脚本策划、执行方案完整、合理，考虑全面；创意新颖且能执行的，完全满足本项目要求的计15分；</w:t>
            </w:r>
            <w:r>
              <w:rPr>
                <w:rFonts w:hint="eastAsia"/>
              </w:rPr>
              <w:t>被认定为</w:t>
            </w:r>
            <w:r>
              <w:rPr>
                <w:rFonts w:hint="eastAsia"/>
                <w:lang w:val="en-US" w:eastAsia="zh-CN"/>
              </w:rPr>
              <w:t>不合理</w:t>
            </w:r>
            <w:r>
              <w:rPr>
                <w:rFonts w:hint="eastAsia"/>
              </w:rPr>
              <w:t>或</w:t>
            </w:r>
            <w:r>
              <w:rPr>
                <w:rFonts w:hint="eastAsia"/>
                <w:lang w:val="en-US" w:eastAsia="zh-CN"/>
              </w:rPr>
              <w:t>没有操作性</w:t>
            </w:r>
            <w:r>
              <w:rPr>
                <w:rFonts w:hint="eastAsia"/>
              </w:rPr>
              <w:t>的每条扣</w:t>
            </w:r>
            <w:r>
              <w:rPr>
                <w:rFonts w:hint="eastAsia"/>
                <w:lang w:val="en-US" w:eastAsia="zh-CN"/>
              </w:rPr>
              <w:t>3</w:t>
            </w:r>
            <w:r>
              <w:rPr>
                <w:rFonts w:hint="eastAsia"/>
              </w:rPr>
              <w:t>分，扣完为止</w:t>
            </w:r>
            <w:r>
              <w:rPr>
                <w:rFonts w:hint="eastAsia"/>
                <w:lang w:eastAsia="zh-CN"/>
              </w:rPr>
              <w:t>；</w:t>
            </w:r>
            <w:r>
              <w:rPr>
                <w:rFonts w:hint="eastAsia"/>
                <w:lang w:val="en-US" w:eastAsia="zh-CN"/>
              </w:rPr>
              <w:t>未提供此项内容不计分。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075" w:type="dxa"/>
            <w:vMerge w:val="restart"/>
            <w:vAlign w:val="center"/>
          </w:tcPr>
          <w:p>
            <w:pPr>
              <w:pageBreakBefore w:val="0"/>
              <w:widowControl/>
              <w:kinsoku/>
              <w:wordWrap/>
              <w:overflowPunct/>
              <w:topLinePunct w:val="0"/>
              <w:autoSpaceDE/>
              <w:autoSpaceDN/>
              <w:bidi w:val="0"/>
              <w:spacing w:line="440" w:lineRule="exact"/>
              <w:jc w:val="center"/>
              <w:textAlignment w:val="auto"/>
              <w:rPr>
                <w:rFonts w:ascii="宋体" w:hAnsi="宋体"/>
                <w:szCs w:val="21"/>
              </w:rPr>
            </w:pPr>
            <w:r>
              <w:rPr>
                <w:rFonts w:hint="eastAsia" w:ascii="宋体" w:hAnsi="宋体"/>
                <w:szCs w:val="21"/>
              </w:rPr>
              <w:t>商务部分</w:t>
            </w:r>
          </w:p>
          <w:p>
            <w:pPr>
              <w:pageBreakBefore w:val="0"/>
              <w:widowControl/>
              <w:kinsoku/>
              <w:wordWrap/>
              <w:overflowPunct/>
              <w:topLinePunct w:val="0"/>
              <w:autoSpaceDE/>
              <w:autoSpaceDN/>
              <w:bidi w:val="0"/>
              <w:spacing w:line="440" w:lineRule="exact"/>
              <w:jc w:val="center"/>
              <w:textAlignment w:val="auto"/>
              <w:rPr>
                <w:rFonts w:ascii="宋体" w:hAnsi="宋体"/>
                <w:b/>
                <w:szCs w:val="21"/>
              </w:rPr>
            </w:pPr>
            <w:r>
              <w:rPr>
                <w:rFonts w:hint="eastAsia" w:ascii="宋体" w:hAnsi="宋体"/>
                <w:szCs w:val="21"/>
              </w:rPr>
              <w:t>（</w:t>
            </w:r>
            <w:r>
              <w:rPr>
                <w:rFonts w:hint="eastAsia" w:ascii="宋体" w:hAnsi="宋体"/>
                <w:szCs w:val="21"/>
                <w:lang w:val="en-US" w:eastAsia="zh-CN"/>
              </w:rPr>
              <w:t>40</w:t>
            </w:r>
            <w:r>
              <w:rPr>
                <w:rFonts w:hint="eastAsia" w:ascii="宋体" w:hAnsi="宋体"/>
                <w:szCs w:val="21"/>
              </w:rPr>
              <w:t>分）</w:t>
            </w:r>
          </w:p>
        </w:tc>
        <w:tc>
          <w:tcPr>
            <w:tcW w:w="1847" w:type="dxa"/>
            <w:gridSpan w:val="2"/>
            <w:vAlign w:val="center"/>
          </w:tcPr>
          <w:p>
            <w:pPr>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cs="宋体"/>
                <w:szCs w:val="21"/>
                <w:lang w:val="en-US" w:eastAsia="zh-CN"/>
              </w:rPr>
            </w:pPr>
            <w:r>
              <w:rPr>
                <w:rFonts w:hint="eastAsia" w:ascii="宋体" w:hAnsi="宋体" w:cs="宋体"/>
                <w:szCs w:val="21"/>
              </w:rPr>
              <w:t>类似业绩</w:t>
            </w:r>
          </w:p>
        </w:tc>
        <w:tc>
          <w:tcPr>
            <w:tcW w:w="709" w:type="dxa"/>
            <w:vAlign w:val="center"/>
          </w:tcPr>
          <w:p>
            <w:pPr>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10</w:t>
            </w:r>
          </w:p>
        </w:tc>
        <w:tc>
          <w:tcPr>
            <w:tcW w:w="6876" w:type="dxa"/>
            <w:vAlign w:val="center"/>
          </w:tcPr>
          <w:p>
            <w:pPr>
              <w:pageBreakBefore w:val="0"/>
              <w:kinsoku/>
              <w:wordWrap/>
              <w:overflowPunct/>
              <w:topLinePunct w:val="0"/>
              <w:autoSpaceDE/>
              <w:autoSpaceDN/>
              <w:bidi w:val="0"/>
              <w:adjustRightInd w:val="0"/>
              <w:snapToGrid w:val="0"/>
              <w:spacing w:line="440" w:lineRule="exact"/>
              <w:textAlignment w:val="auto"/>
              <w:rPr>
                <w:rFonts w:hint="eastAsia"/>
              </w:rPr>
            </w:pPr>
            <w:r>
              <w:rPr>
                <w:rFonts w:hint="eastAsia"/>
              </w:rPr>
              <w:t>供应商提供自201</w:t>
            </w:r>
            <w:r>
              <w:rPr>
                <w:rFonts w:hint="eastAsia"/>
                <w:lang w:val="en-US" w:eastAsia="zh-CN"/>
              </w:rPr>
              <w:t>9</w:t>
            </w:r>
            <w:r>
              <w:rPr>
                <w:rFonts w:hint="eastAsia"/>
              </w:rPr>
              <w:t>年1月1日（以合同签订时间为准）以来的</w:t>
            </w:r>
            <w:r>
              <w:rPr>
                <w:rFonts w:hint="eastAsia"/>
                <w:lang w:val="en-US" w:eastAsia="zh-CN"/>
              </w:rPr>
              <w:t>省厅级政府部门或单位的宣传片制作经验项目</w:t>
            </w:r>
            <w:r>
              <w:rPr>
                <w:rFonts w:hint="eastAsia"/>
              </w:rPr>
              <w:t>业绩的，每提供一个计</w:t>
            </w:r>
            <w:r>
              <w:rPr>
                <w:rFonts w:hint="eastAsia"/>
                <w:lang w:val="en-US" w:eastAsia="zh-CN"/>
              </w:rPr>
              <w:t>2</w:t>
            </w:r>
            <w:r>
              <w:rPr>
                <w:rFonts w:hint="eastAsia"/>
              </w:rPr>
              <w:t>分，最多计</w:t>
            </w:r>
            <w:r>
              <w:rPr>
                <w:rFonts w:hint="eastAsia"/>
                <w:lang w:val="en-US" w:eastAsia="zh-CN"/>
              </w:rPr>
              <w:t>10</w:t>
            </w:r>
            <w:r>
              <w:rPr>
                <w:rFonts w:hint="eastAsia"/>
              </w:rPr>
              <w:t>分。</w:t>
            </w:r>
          </w:p>
          <w:p>
            <w:pPr>
              <w:pageBreakBefore w:val="0"/>
              <w:kinsoku/>
              <w:wordWrap/>
              <w:overflowPunct/>
              <w:topLinePunct w:val="0"/>
              <w:autoSpaceDE/>
              <w:autoSpaceDN/>
              <w:bidi w:val="0"/>
              <w:adjustRightInd w:val="0"/>
              <w:snapToGrid w:val="0"/>
              <w:spacing w:line="440" w:lineRule="exact"/>
              <w:textAlignment w:val="auto"/>
              <w:rPr>
                <w:rFonts w:hint="eastAsia"/>
              </w:rPr>
            </w:pPr>
            <w:r>
              <w:rPr>
                <w:rFonts w:hint="eastAsia"/>
                <w:lang w:val="en-US" w:eastAsia="zh-CN"/>
              </w:rPr>
              <w:t>注：</w:t>
            </w:r>
            <w:r>
              <w:rPr>
                <w:rFonts w:hint="eastAsia"/>
              </w:rPr>
              <w:t>需提供合同复印件并加盖供应商公章，否则不计分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ascii="宋体" w:hAnsi="宋体"/>
                <w:szCs w:val="21"/>
              </w:rPr>
            </w:pPr>
          </w:p>
        </w:tc>
        <w:tc>
          <w:tcPr>
            <w:tcW w:w="1847" w:type="dxa"/>
            <w:gridSpan w:val="2"/>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拟投入本项目人员</w:t>
            </w:r>
          </w:p>
        </w:tc>
        <w:tc>
          <w:tcPr>
            <w:tcW w:w="709" w:type="dxa"/>
            <w:vAlign w:val="center"/>
          </w:tcPr>
          <w:p>
            <w:pPr>
              <w:pageBreakBefore w:val="0"/>
              <w:widowControl/>
              <w:kinsoku/>
              <w:wordWrap/>
              <w:overflowPunct/>
              <w:topLinePunct w:val="0"/>
              <w:autoSpaceDE/>
              <w:autoSpaceDN/>
              <w:bidi w:val="0"/>
              <w:spacing w:line="440" w:lineRule="exact"/>
              <w:jc w:val="center"/>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12</w:t>
            </w:r>
          </w:p>
        </w:tc>
        <w:tc>
          <w:tcPr>
            <w:tcW w:w="6876" w:type="dxa"/>
            <w:vAlign w:val="center"/>
          </w:tcPr>
          <w:p>
            <w:pPr>
              <w:pageBreakBefore w:val="0"/>
              <w:widowControl/>
              <w:numPr>
                <w:ilvl w:val="0"/>
                <w:numId w:val="5"/>
              </w:numPr>
              <w:kinsoku/>
              <w:wordWrap/>
              <w:overflowPunct/>
              <w:topLinePunct w:val="0"/>
              <w:autoSpaceDE/>
              <w:autoSpaceDN/>
              <w:bidi w:val="0"/>
              <w:spacing w:line="440" w:lineRule="exact"/>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导演具有专业导演二级及以上职称的计5分；</w:t>
            </w:r>
          </w:p>
          <w:p>
            <w:pPr>
              <w:pageBreakBefore w:val="0"/>
              <w:widowControl/>
              <w:numPr>
                <w:ilvl w:val="0"/>
                <w:numId w:val="5"/>
              </w:numPr>
              <w:kinsoku/>
              <w:wordWrap/>
              <w:overflowPunct/>
              <w:topLinePunct w:val="0"/>
              <w:autoSpaceDE/>
              <w:autoSpaceDN/>
              <w:bidi w:val="0"/>
              <w:spacing w:line="440" w:lineRule="exact"/>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摄像具有专业摄像二级及以上职称的计3分；</w:t>
            </w:r>
          </w:p>
          <w:p>
            <w:pPr>
              <w:pageBreakBefore w:val="0"/>
              <w:widowControl/>
              <w:numPr>
                <w:ilvl w:val="0"/>
                <w:numId w:val="5"/>
              </w:numPr>
              <w:kinsoku/>
              <w:wordWrap/>
              <w:overflowPunct/>
              <w:topLinePunct w:val="0"/>
              <w:autoSpaceDE/>
              <w:autoSpaceDN/>
              <w:bidi w:val="0"/>
              <w:spacing w:line="440" w:lineRule="exact"/>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美术具有专业美术师三级及以上职称的计2 分；</w:t>
            </w:r>
          </w:p>
          <w:p>
            <w:pPr>
              <w:pageBreakBefore w:val="0"/>
              <w:widowControl/>
              <w:numPr>
                <w:ilvl w:val="0"/>
                <w:numId w:val="5"/>
              </w:numPr>
              <w:kinsoku/>
              <w:wordWrap/>
              <w:overflowPunct/>
              <w:topLinePunct w:val="0"/>
              <w:autoSpaceDE/>
              <w:autoSpaceDN/>
              <w:bidi w:val="0"/>
              <w:spacing w:line="440" w:lineRule="exact"/>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编剧具有专业文学编辑三级及以上职称的计 2分。 </w:t>
            </w:r>
          </w:p>
          <w:p>
            <w:pPr>
              <w:pageBreakBefore w:val="0"/>
              <w:widowControl/>
              <w:numPr>
                <w:ilvl w:val="0"/>
                <w:numId w:val="0"/>
              </w:numPr>
              <w:kinsoku/>
              <w:wordWrap/>
              <w:overflowPunct/>
              <w:topLinePunct w:val="0"/>
              <w:autoSpaceDE/>
              <w:autoSpaceDN/>
              <w:bidi w:val="0"/>
              <w:spacing w:line="440" w:lineRule="exact"/>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（需提供人员身份证及其职称证书复印件，每个专业类别只计1人，以及供应商近三个月（2023年04月-2023年06月）内任意一个月为其缴纳社保的证明材料复印件，否则不计分。）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ascii="宋体" w:hAnsi="宋体"/>
                <w:szCs w:val="21"/>
              </w:rPr>
            </w:pPr>
          </w:p>
        </w:tc>
        <w:tc>
          <w:tcPr>
            <w:tcW w:w="1847" w:type="dxa"/>
            <w:gridSpan w:val="2"/>
            <w:vAlign w:val="center"/>
          </w:tcPr>
          <w:p>
            <w:pPr>
              <w:pageBreakBefore w:val="0"/>
              <w:widowControl/>
              <w:numPr>
                <w:ilvl w:val="0"/>
                <w:numId w:val="0"/>
              </w:numPr>
              <w:kinsoku/>
              <w:wordWrap/>
              <w:overflowPunct/>
              <w:topLinePunct w:val="0"/>
              <w:autoSpaceDE/>
              <w:autoSpaceDN/>
              <w:bidi w:val="0"/>
              <w:spacing w:line="440" w:lineRule="exact"/>
              <w:jc w:val="center"/>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拟投入本项目专业设备</w:t>
            </w:r>
          </w:p>
        </w:tc>
        <w:tc>
          <w:tcPr>
            <w:tcW w:w="709" w:type="dxa"/>
            <w:vAlign w:val="center"/>
          </w:tcPr>
          <w:p>
            <w:pPr>
              <w:pageBreakBefore w:val="0"/>
              <w:widowControl/>
              <w:numPr>
                <w:ilvl w:val="0"/>
                <w:numId w:val="0"/>
              </w:numPr>
              <w:kinsoku/>
              <w:wordWrap/>
              <w:overflowPunct/>
              <w:topLinePunct w:val="0"/>
              <w:autoSpaceDE/>
              <w:autoSpaceDN/>
              <w:bidi w:val="0"/>
              <w:spacing w:line="440" w:lineRule="exact"/>
              <w:jc w:val="center"/>
              <w:textAlignment w:val="auto"/>
              <w:rPr>
                <w:rFonts w:hint="default" w:ascii="宋体" w:hAnsi="宋体" w:eastAsia="宋体" w:cs="Times New Roman"/>
                <w:szCs w:val="21"/>
                <w:lang w:val="en-US" w:eastAsia="zh-CN"/>
              </w:rPr>
            </w:pPr>
            <w:r>
              <w:rPr>
                <w:rFonts w:hint="eastAsia" w:ascii="宋体" w:hAnsi="宋体" w:cs="Times New Roman"/>
                <w:szCs w:val="21"/>
                <w:lang w:val="en-US" w:eastAsia="zh-CN"/>
              </w:rPr>
              <w:t>8</w:t>
            </w:r>
          </w:p>
        </w:tc>
        <w:tc>
          <w:tcPr>
            <w:tcW w:w="6876" w:type="dxa"/>
            <w:vAlign w:val="center"/>
          </w:tcPr>
          <w:p>
            <w:pPr>
              <w:pageBreakBefore w:val="0"/>
              <w:widowControl/>
              <w:numPr>
                <w:ilvl w:val="0"/>
                <w:numId w:val="0"/>
              </w:numPr>
              <w:kinsoku/>
              <w:wordWrap/>
              <w:overflowPunct/>
              <w:topLinePunct w:val="0"/>
              <w:autoSpaceDE/>
              <w:autoSpaceDN/>
              <w:bidi w:val="0"/>
              <w:spacing w:line="440" w:lineRule="exact"/>
              <w:jc w:val="left"/>
              <w:textAlignment w:val="auto"/>
              <w:rPr>
                <w:rFonts w:hint="eastAsia" w:ascii="宋体" w:hAnsi="宋体" w:eastAsia="宋体" w:cs="Times New Roman"/>
                <w:szCs w:val="21"/>
                <w:lang w:val="en-US" w:eastAsia="zh-CN"/>
              </w:rPr>
            </w:pPr>
            <w:r>
              <w:rPr>
                <w:rFonts w:hint="eastAsia"/>
                <w:spacing w:val="-4"/>
              </w:rPr>
              <w:t>供应</w:t>
            </w:r>
            <w:r>
              <w:rPr>
                <w:spacing w:val="-4"/>
              </w:rPr>
              <w:t>商</w:t>
            </w:r>
            <w:r>
              <w:rPr>
                <w:rFonts w:hint="eastAsia"/>
                <w:spacing w:val="-4"/>
              </w:rPr>
              <w:t>提供与本项目制作拍摄相关的各种</w:t>
            </w:r>
            <w:r>
              <w:rPr>
                <w:spacing w:val="-4"/>
              </w:rPr>
              <w:t>专业设备，设备品种齐全搭配合理</w:t>
            </w:r>
            <w:r>
              <w:rPr>
                <w:spacing w:val="-19"/>
              </w:rPr>
              <w:t>的计</w:t>
            </w:r>
            <w:r>
              <w:rPr>
                <w:rFonts w:hint="eastAsia"/>
                <w:spacing w:val="-19"/>
                <w:lang w:val="en-US" w:eastAsia="zh-CN"/>
              </w:rPr>
              <w:t>8</w:t>
            </w:r>
            <w:r>
              <w:rPr>
                <w:spacing w:val="-15"/>
              </w:rPr>
              <w:t>分，</w:t>
            </w:r>
            <w:r>
              <w:rPr>
                <w:rFonts w:hint="eastAsia" w:ascii="宋体" w:hAnsi="宋体" w:cs="宋体"/>
                <w:color w:val="000000"/>
                <w:szCs w:val="21"/>
              </w:rPr>
              <w:t>有缺漏项或不合理处，每处扣2分，扣完为止</w:t>
            </w:r>
            <w:r>
              <w:t>。</w:t>
            </w:r>
            <w:r>
              <w:rPr>
                <w:rFonts w:hint="eastAsia"/>
              </w:rPr>
              <w:t>（</w:t>
            </w:r>
            <w:r>
              <w:t>提供设备清单及购买</w:t>
            </w:r>
            <w:r>
              <w:rPr>
                <w:rFonts w:hint="eastAsia"/>
              </w:rPr>
              <w:t>（或租赁）合同</w:t>
            </w:r>
            <w:r>
              <w:t>等证明文件</w:t>
            </w:r>
            <w:r>
              <w:rPr>
                <w:rFonts w:hint="eastAsia"/>
              </w:rPr>
              <w:t>并加盖供应商公章，</w:t>
            </w:r>
            <w:r>
              <w:t>否则不计分。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ascii="宋体" w:hAnsi="宋体"/>
                <w:szCs w:val="21"/>
              </w:rPr>
            </w:pPr>
          </w:p>
        </w:tc>
        <w:tc>
          <w:tcPr>
            <w:tcW w:w="1847" w:type="dxa"/>
            <w:gridSpan w:val="2"/>
            <w:vAlign w:val="center"/>
          </w:tcPr>
          <w:p>
            <w:pPr>
              <w:pageBreakBefore w:val="0"/>
              <w:widowControl/>
              <w:numPr>
                <w:ilvl w:val="0"/>
                <w:numId w:val="0"/>
              </w:numPr>
              <w:kinsoku/>
              <w:wordWrap/>
              <w:overflowPunct/>
              <w:topLinePunct w:val="0"/>
              <w:autoSpaceDE/>
              <w:autoSpaceDN/>
              <w:bidi w:val="0"/>
              <w:spacing w:line="440" w:lineRule="exact"/>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荣誉表彰</w:t>
            </w:r>
          </w:p>
        </w:tc>
        <w:tc>
          <w:tcPr>
            <w:tcW w:w="709" w:type="dxa"/>
            <w:vAlign w:val="center"/>
          </w:tcPr>
          <w:p>
            <w:pPr>
              <w:pageBreakBefore w:val="0"/>
              <w:widowControl/>
              <w:numPr>
                <w:ilvl w:val="0"/>
                <w:numId w:val="0"/>
              </w:numPr>
              <w:kinsoku/>
              <w:wordWrap/>
              <w:overflowPunct/>
              <w:topLinePunct w:val="0"/>
              <w:autoSpaceDE/>
              <w:autoSpaceDN/>
              <w:bidi w:val="0"/>
              <w:spacing w:line="440" w:lineRule="exact"/>
              <w:jc w:val="center"/>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w:t>
            </w:r>
          </w:p>
        </w:tc>
        <w:tc>
          <w:tcPr>
            <w:tcW w:w="6876" w:type="dxa"/>
            <w:vAlign w:val="center"/>
          </w:tcPr>
          <w:p>
            <w:pPr>
              <w:pageBreakBefore w:val="0"/>
              <w:widowControl/>
              <w:numPr>
                <w:ilvl w:val="0"/>
                <w:numId w:val="0"/>
              </w:numPr>
              <w:kinsoku/>
              <w:wordWrap/>
              <w:overflowPunct/>
              <w:topLinePunct w:val="0"/>
              <w:autoSpaceDE/>
              <w:autoSpaceDN/>
              <w:bidi w:val="0"/>
              <w:spacing w:line="440" w:lineRule="exact"/>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2019年以来供应商制作的宣传作品获得过</w:t>
            </w:r>
            <w:r>
              <w:rPr>
                <w:rFonts w:hint="eastAsia" w:ascii="宋体" w:hAnsi="宋体" w:cs="Times New Roman"/>
                <w:szCs w:val="21"/>
                <w:lang w:val="en-US" w:eastAsia="zh-CN"/>
              </w:rPr>
              <w:t>省级及以上</w:t>
            </w:r>
            <w:r>
              <w:rPr>
                <w:rFonts w:hint="eastAsia" w:ascii="宋体" w:hAnsi="宋体" w:eastAsia="宋体" w:cs="Times New Roman"/>
                <w:szCs w:val="21"/>
                <w:lang w:val="en-US" w:eastAsia="zh-CN"/>
              </w:rPr>
              <w:t>荣誉表彰的，每提供一个计2分，最多计10分。（提供项目合同复印件、奖项或证书复印件或公示截图或获奖链接等证明材料并加盖</w:t>
            </w:r>
            <w:r>
              <w:rPr>
                <w:rFonts w:hint="eastAsia" w:ascii="宋体" w:hAnsi="宋体" w:cs="Times New Roman"/>
                <w:szCs w:val="21"/>
                <w:lang w:val="en-US" w:eastAsia="zh-CN"/>
              </w:rPr>
              <w:t>供应商</w:t>
            </w:r>
            <w:r>
              <w:rPr>
                <w:rFonts w:hint="eastAsia" w:ascii="宋体" w:hAnsi="宋体" w:eastAsia="宋体" w:cs="Times New Roman"/>
                <w:szCs w:val="21"/>
                <w:lang w:val="en-US" w:eastAsia="zh-CN"/>
              </w:rPr>
              <w:t>公章，未提供不计分。）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75" w:type="dxa"/>
            <w:vAlign w:val="center"/>
          </w:tcPr>
          <w:p>
            <w:pPr>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szCs w:val="21"/>
              </w:rPr>
            </w:pPr>
          </w:p>
        </w:tc>
        <w:tc>
          <w:tcPr>
            <w:tcW w:w="9432" w:type="dxa"/>
            <w:gridSpan w:val="4"/>
            <w:vAlign w:val="center"/>
          </w:tcPr>
          <w:p>
            <w:pPr>
              <w:pageBreakBefore w:val="0"/>
              <w:widowControl/>
              <w:kinsoku/>
              <w:wordWrap/>
              <w:overflowPunct/>
              <w:topLinePunct w:val="0"/>
              <w:autoSpaceDE/>
              <w:autoSpaceDN/>
              <w:bidi w:val="0"/>
              <w:adjustRightInd w:val="0"/>
              <w:snapToGrid w:val="0"/>
              <w:spacing w:line="440" w:lineRule="exact"/>
              <w:jc w:val="center"/>
              <w:textAlignment w:val="auto"/>
              <w:rPr>
                <w:rFonts w:ascii="宋体" w:hAnsi="宋体"/>
                <w:szCs w:val="21"/>
              </w:rPr>
            </w:pPr>
            <w:r>
              <w:rPr>
                <w:rFonts w:hint="eastAsia" w:ascii="宋体" w:hAnsi="宋体"/>
                <w:szCs w:val="21"/>
              </w:rPr>
              <w:t>100分</w:t>
            </w:r>
          </w:p>
        </w:tc>
      </w:tr>
    </w:tbl>
    <w:p>
      <w:pPr>
        <w:pageBreakBefore w:val="0"/>
        <w:kinsoku/>
        <w:wordWrap/>
        <w:overflowPunct/>
        <w:bidi w:val="0"/>
        <w:adjustRightInd w:val="0"/>
        <w:snapToGrid w:val="0"/>
        <w:spacing w:line="440" w:lineRule="exact"/>
        <w:jc w:val="left"/>
        <w:rPr>
          <w:rFonts w:ascii="宋体" w:hAnsi="宋体" w:cs="宋体"/>
          <w:b/>
          <w:bCs/>
          <w:szCs w:val="21"/>
        </w:rPr>
      </w:pPr>
      <w:r>
        <w:rPr>
          <w:rFonts w:hint="eastAsia" w:ascii="宋体" w:hAnsi="宋体" w:cs="宋体"/>
          <w:b/>
          <w:bCs/>
          <w:szCs w:val="21"/>
        </w:rPr>
        <w:t>注:</w:t>
      </w:r>
    </w:p>
    <w:p>
      <w:pPr>
        <w:pageBreakBefore w:val="0"/>
        <w:kinsoku/>
        <w:wordWrap/>
        <w:overflowPunct/>
        <w:bidi w:val="0"/>
        <w:adjustRightInd w:val="0"/>
        <w:snapToGrid w:val="0"/>
        <w:spacing w:line="440" w:lineRule="exact"/>
        <w:jc w:val="left"/>
        <w:rPr>
          <w:rFonts w:ascii="宋体" w:hAnsi="宋体" w:cs="宋体"/>
          <w:b/>
          <w:bCs/>
          <w:szCs w:val="21"/>
        </w:rPr>
      </w:pPr>
      <w:r>
        <w:rPr>
          <w:rFonts w:hint="eastAsia" w:ascii="宋体" w:hAnsi="宋体" w:cs="宋体"/>
          <w:b/>
          <w:bCs/>
          <w:szCs w:val="21"/>
        </w:rPr>
        <w:t>1、上述要求提供的复印件，均须加盖投标单位公章，否则不计分。</w:t>
      </w:r>
    </w:p>
    <w:p>
      <w:pPr>
        <w:pageBreakBefore w:val="0"/>
        <w:kinsoku/>
        <w:wordWrap/>
        <w:overflowPunct/>
        <w:bidi w:val="0"/>
        <w:adjustRightInd w:val="0"/>
        <w:snapToGrid w:val="0"/>
        <w:spacing w:line="440" w:lineRule="exact"/>
        <w:jc w:val="left"/>
        <w:rPr>
          <w:rFonts w:ascii="宋体" w:hAnsi="宋体" w:cs="宋体"/>
          <w:b/>
          <w:bCs/>
          <w:szCs w:val="21"/>
        </w:rPr>
      </w:pPr>
      <w:r>
        <w:rPr>
          <w:rFonts w:hint="eastAsia" w:ascii="宋体" w:hAnsi="宋体" w:cs="宋体"/>
          <w:b/>
          <w:bCs/>
          <w:szCs w:val="21"/>
        </w:rPr>
        <w:t>2、投标人须对上述提交资料的真实性负责，如存在弄虚作假行为，视为无效投标，并报相关部门进行处理。</w:t>
      </w:r>
    </w:p>
    <w:p>
      <w:pPr>
        <w:pageBreakBefore w:val="0"/>
        <w:kinsoku/>
        <w:wordWrap/>
        <w:overflowPunct/>
        <w:bidi w:val="0"/>
        <w:adjustRightInd w:val="0"/>
        <w:snapToGrid w:val="0"/>
        <w:spacing w:line="440" w:lineRule="exact"/>
        <w:rPr>
          <w:rFonts w:ascii="宋体" w:hAnsi="宋体" w:cs="宋体"/>
          <w:b/>
          <w:bCs/>
          <w:sz w:val="32"/>
          <w:szCs w:val="32"/>
        </w:rPr>
        <w:sectPr>
          <w:headerReference r:id="rId8" w:type="default"/>
          <w:footerReference r:id="rId9" w:type="default"/>
          <w:pgSz w:w="11906" w:h="16838"/>
          <w:pgMar w:top="1134" w:right="1134" w:bottom="1134" w:left="1134" w:header="851" w:footer="992" w:gutter="0"/>
          <w:cols w:space="720" w:num="1"/>
          <w:docGrid w:type="lines" w:linePitch="312" w:charSpace="0"/>
        </w:sectPr>
      </w:pPr>
      <w:r>
        <w:rPr>
          <w:rFonts w:hint="eastAsia" w:ascii="宋体" w:hAnsi="宋体" w:cs="宋体"/>
          <w:b/>
          <w:bCs/>
          <w:szCs w:val="21"/>
        </w:rPr>
        <w:t>3、如上述证件正处于换证时期无法提供在有效期内的证件复印件的，须提供发证单位出具的证明文件复印件并加盖投标人公章，否则对应评分项不予计分。</w:t>
      </w:r>
    </w:p>
    <w:p>
      <w:pPr>
        <w:pageBreakBefore w:val="0"/>
        <w:kinsoku/>
        <w:wordWrap/>
        <w:overflowPunct/>
        <w:bidi w:val="0"/>
        <w:adjustRightInd w:val="0"/>
        <w:snapToGrid w:val="0"/>
        <w:spacing w:before="120" w:beforeLines="50" w:line="440" w:lineRule="exact"/>
        <w:jc w:val="center"/>
        <w:outlineLvl w:val="1"/>
        <w:rPr>
          <w:rFonts w:ascii="宋体" w:hAnsi="宋体"/>
          <w:b/>
          <w:sz w:val="32"/>
          <w:szCs w:val="32"/>
        </w:rPr>
      </w:pPr>
      <w:bookmarkStart w:id="7" w:name="_Toc32063"/>
      <w:bookmarkStart w:id="8" w:name="_Toc489882262"/>
      <w:r>
        <w:rPr>
          <w:rFonts w:hint="eastAsia" w:ascii="宋体" w:hAnsi="宋体"/>
          <w:b/>
          <w:sz w:val="32"/>
          <w:szCs w:val="32"/>
        </w:rPr>
        <w:t>磋商须知正文</w:t>
      </w:r>
      <w:bookmarkEnd w:id="7"/>
      <w:bookmarkEnd w:id="8"/>
    </w:p>
    <w:p>
      <w:pPr>
        <w:pStyle w:val="9"/>
        <w:pageBreakBefore w:val="0"/>
        <w:kinsoku/>
        <w:wordWrap/>
        <w:overflowPunct/>
        <w:bidi w:val="0"/>
        <w:spacing w:before="240" w:beforeLines="100" w:after="120" w:line="440" w:lineRule="exact"/>
        <w:jc w:val="center"/>
        <w:rPr>
          <w:rFonts w:ascii="黑体" w:hAnsi="宋体" w:eastAsia="黑体"/>
          <w:b w:val="0"/>
          <w:sz w:val="28"/>
          <w:szCs w:val="28"/>
        </w:rPr>
      </w:pPr>
      <w:bookmarkStart w:id="9" w:name="_Toc21580"/>
      <w:r>
        <w:rPr>
          <w:rFonts w:hint="eastAsia" w:ascii="黑体" w:hAnsi="宋体" w:eastAsia="黑体"/>
          <w:b w:val="0"/>
          <w:sz w:val="28"/>
          <w:szCs w:val="28"/>
        </w:rPr>
        <w:t>一、说明</w:t>
      </w:r>
      <w:bookmarkEnd w:id="9"/>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1.适用范围</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1.1 本磋商文件仅适用于</w:t>
      </w:r>
      <w:r>
        <w:rPr>
          <w:rFonts w:hint="eastAsia" w:ascii="宋体" w:hAnsi="宋体"/>
          <w:b/>
          <w:szCs w:val="21"/>
        </w:rPr>
        <w:t>【磋商须知前附表】</w:t>
      </w:r>
      <w:r>
        <w:rPr>
          <w:rFonts w:hint="eastAsia" w:ascii="宋体" w:hAnsi="宋体"/>
          <w:szCs w:val="21"/>
        </w:rPr>
        <w:t>中所叙述的采购项目。</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2.定义</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b/>
          <w:bCs/>
          <w:szCs w:val="21"/>
        </w:rPr>
      </w:pPr>
      <w:r>
        <w:rPr>
          <w:rFonts w:hint="eastAsia" w:ascii="宋体" w:hAnsi="宋体"/>
          <w:szCs w:val="21"/>
        </w:rPr>
        <w:t>2.1 “采购人”是指依法进行政府采购的国家机关、事业单位、团体组织。本次政府采购的采购人名称、地址、电话、联系人见【</w:t>
      </w:r>
      <w:r>
        <w:rPr>
          <w:rFonts w:hint="eastAsia" w:ascii="宋体" w:hAnsi="宋体"/>
          <w:b/>
          <w:bCs/>
          <w:szCs w:val="21"/>
        </w:rPr>
        <w:t>磋商须知前附表】</w:t>
      </w:r>
      <w:r>
        <w:rPr>
          <w:rFonts w:hint="eastAsia" w:ascii="宋体" w:hAnsi="宋体"/>
          <w:szCs w:val="21"/>
        </w:rPr>
        <w:t>。</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b/>
          <w:bCs/>
          <w:szCs w:val="21"/>
        </w:rPr>
      </w:pPr>
      <w:r>
        <w:rPr>
          <w:rFonts w:hint="eastAsia" w:ascii="宋体" w:hAnsi="宋体"/>
          <w:szCs w:val="21"/>
        </w:rPr>
        <w:t>2.2 “采购代理机构”是指接受采购人委托，代理采购项目的集中采购机构和其他采购代理机构。本次政府采购的采购代理机构名称、地址、电话、联系人见</w:t>
      </w:r>
      <w:r>
        <w:rPr>
          <w:rFonts w:hint="eastAsia" w:ascii="宋体" w:hAnsi="宋体"/>
          <w:b/>
          <w:bCs/>
          <w:szCs w:val="21"/>
        </w:rPr>
        <w:t>【磋商须知前附表】。</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kern w:val="36"/>
          <w:szCs w:val="21"/>
        </w:rPr>
      </w:pPr>
      <w:r>
        <w:rPr>
          <w:rFonts w:hint="eastAsia" w:ascii="宋体" w:hAnsi="宋体"/>
          <w:szCs w:val="21"/>
        </w:rPr>
        <w:t>2.3 “供应商”是指响应磋商文件要求、参加竞争性磋商采购的法人、其他组织或者自然人。本次政府采购项目</w:t>
      </w:r>
      <w:r>
        <w:rPr>
          <w:rFonts w:hint="eastAsia" w:ascii="宋体" w:hAnsi="宋体"/>
          <w:kern w:val="0"/>
          <w:szCs w:val="21"/>
        </w:rPr>
        <w:t>邀请</w:t>
      </w:r>
      <w:r>
        <w:rPr>
          <w:rFonts w:hint="eastAsia" w:ascii="宋体" w:hAnsi="宋体"/>
          <w:szCs w:val="21"/>
        </w:rPr>
        <w:t>的</w:t>
      </w:r>
      <w:r>
        <w:rPr>
          <w:rFonts w:hint="eastAsia" w:ascii="宋体" w:hAnsi="宋体"/>
          <w:kern w:val="0"/>
          <w:szCs w:val="21"/>
        </w:rPr>
        <w:t>供应商通过</w:t>
      </w:r>
      <w:r>
        <w:rPr>
          <w:rFonts w:hint="eastAsia" w:ascii="宋体" w:hAnsi="宋体"/>
          <w:b/>
          <w:bCs/>
          <w:szCs w:val="21"/>
        </w:rPr>
        <w:t>【磋商须知前附表】</w:t>
      </w:r>
      <w:r>
        <w:rPr>
          <w:rFonts w:hint="eastAsia" w:ascii="宋体" w:hAnsi="宋体"/>
          <w:szCs w:val="21"/>
        </w:rPr>
        <w:t>所述方式</w:t>
      </w:r>
      <w:r>
        <w:rPr>
          <w:rFonts w:hint="eastAsia" w:ascii="宋体" w:hAnsi="宋体"/>
          <w:kern w:val="0"/>
          <w:szCs w:val="21"/>
        </w:rPr>
        <w:t>，邀请符合资格条件的供应商提交响应文件（含资格证明资料），参与竞争性磋商采购活动。</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kern w:val="0"/>
          <w:szCs w:val="21"/>
        </w:rPr>
      </w:pPr>
      <w:r>
        <w:rPr>
          <w:rFonts w:hint="eastAsia" w:ascii="宋体" w:hAnsi="宋体"/>
          <w:szCs w:val="21"/>
        </w:rPr>
        <w:t>2.4 “磋商小组”是指</w:t>
      </w:r>
      <w:r>
        <w:rPr>
          <w:rFonts w:hint="eastAsia" w:ascii="宋体" w:hAnsi="宋体"/>
          <w:kern w:val="0"/>
          <w:szCs w:val="21"/>
        </w:rPr>
        <w:t>依据财政部</w:t>
      </w:r>
      <w:r>
        <w:rPr>
          <w:rFonts w:hint="eastAsia" w:ascii="宋体" w:hAnsi="宋体"/>
          <w:kern w:val="36"/>
          <w:szCs w:val="21"/>
        </w:rPr>
        <w:t>《政府采购竞争性磋商采购方式管理暂行办法》有关规定组建，依法依规</w:t>
      </w:r>
      <w:r>
        <w:rPr>
          <w:rFonts w:hint="eastAsia" w:ascii="宋体" w:hAnsi="宋体"/>
          <w:kern w:val="0"/>
          <w:szCs w:val="21"/>
        </w:rPr>
        <w:t>履行其职责和义务的机构。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2.5 “货物”是指各种形态和种类的物品，包括原资料、燃料、设备、产品等，详见《政府采购品目分类目录》(财库[2013]189号)。</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2.6 “工程”是指建设工程，包括建筑物和构筑物的新建、改建、扩建、装修、拆除、修缮等，详见《政府采购品目分类目录》(财库[2013]189号)。</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2.7 “服务”是指除货物和工程以外的其他政府采购对象，详见《政府采购品目分类目录》(财库[2013]189号)。</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2.8 “节能产品”或者“环保产品”是指财政部发布的《节能产品政府采购品目清单》或者《环境标志产品政府采购品目清单》的产品，“两型产品”是指湖南省财政厅发布的《湖南省两型产品政府采购目录》或《长沙市两型产品目录》的产品。</w:t>
      </w:r>
    </w:p>
    <w:p>
      <w:pPr>
        <w:pageBreakBefore w:val="0"/>
        <w:kinsoku/>
        <w:wordWrap/>
        <w:overflowPunct/>
        <w:bidi w:val="0"/>
        <w:adjustRightInd w:val="0"/>
        <w:snapToGrid w:val="0"/>
        <w:spacing w:before="120" w:beforeLines="50" w:after="120" w:afterLines="50" w:line="440" w:lineRule="exact"/>
        <w:ind w:firstLine="420" w:firstLineChars="200"/>
      </w:pPr>
      <w:r>
        <w:rPr>
          <w:rFonts w:hint="eastAsia" w:ascii="宋体" w:hAnsi="宋体"/>
          <w:szCs w:val="21"/>
        </w:rPr>
        <w:t>2.9 “进口产品”是指通过中国海关报关验放进入中国境内且产自关境外的产品，详见《关于政府采购进口产品管理有关问题的通知》(财库[2007]119号)。</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3.供应商的资格要求</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3.1 供应商应当符合</w:t>
      </w:r>
      <w:r>
        <w:rPr>
          <w:rFonts w:hint="eastAsia" w:ascii="宋体" w:hAnsi="宋体"/>
          <w:b/>
          <w:bCs/>
          <w:szCs w:val="21"/>
        </w:rPr>
        <w:t>【磋商须知前附表】</w:t>
      </w:r>
      <w:r>
        <w:rPr>
          <w:rFonts w:hint="eastAsia" w:ascii="宋体" w:hAnsi="宋体"/>
          <w:szCs w:val="21"/>
        </w:rPr>
        <w:t>中规定的资格条件要求。</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 xml:space="preserve">3.2供应商为联合体形式的，除应满足本章第3.1款资格条件要求及第3.3款规定外，还应遵守以下规定： </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（1）联合体各方应按磋商文件提供的格式签订联合体协议书，明确联合体牵头人和各方权利义务(含承担工作及工作量比例)；</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（2）联合体中有同类资质的供应商按照联合体分工承担相同工作的，应当按照资质等级较低的供应商确定资质等级；</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（3）以联合体形式参加政府采购活动的，联合体各方不得再单独参加或者与其他供应商另外组成联合体参加同一合同项下的政府采购活动。</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3.3 供应商不得存在下列情形之一：</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（l）与采购人、采购代理机构存在隶属关系或者其他利害关系。</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（2）与其他供应商的法定代表人（或者负责人）为同一人，或者与其他供应商存在直接控股、管理关系。</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3）受到刑事处罚，或者受到三万元以上的罚款、责令停产停业、在一至三年内禁止参加政府采购活动、暂扣或者吊销许可证、暂扣或者吊销执照等情形之一的行政处罚，或者存在财政部门认定的其他重大违法记录。</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 xml:space="preserve">4.参与磋商的费用 </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4.1 无论磋商的结果如何，供应商应自行承担所有与竞争性磋商采购活动有关的全部费用。</w:t>
      </w:r>
    </w:p>
    <w:p>
      <w:pPr>
        <w:pStyle w:val="18"/>
        <w:pageBreakBefore w:val="0"/>
        <w:kinsoku/>
        <w:wordWrap/>
        <w:overflowPunct/>
        <w:bidi w:val="0"/>
        <w:adjustRightInd w:val="0"/>
        <w:snapToGrid w:val="0"/>
        <w:spacing w:before="120" w:beforeLines="50" w:after="120" w:afterLines="50" w:line="440" w:lineRule="exact"/>
        <w:rPr>
          <w:rFonts w:hAnsi="宋体"/>
          <w:b/>
          <w:bCs/>
        </w:rPr>
      </w:pPr>
      <w:r>
        <w:rPr>
          <w:rFonts w:hint="eastAsia" w:hAnsi="宋体"/>
          <w:b/>
          <w:bCs/>
        </w:rPr>
        <w:t>5．授权委托</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5.1供应商代表为供应商法定代表人的，应具备法定代表人身份证明。供应商代表不是供应商法定代表人的，应具备法定代表人授权书，并附法定代表人身份证明。</w:t>
      </w:r>
    </w:p>
    <w:p>
      <w:pPr>
        <w:pStyle w:val="18"/>
        <w:pageBreakBefore w:val="0"/>
        <w:kinsoku/>
        <w:wordWrap/>
        <w:overflowPunct/>
        <w:bidi w:val="0"/>
        <w:adjustRightInd w:val="0"/>
        <w:snapToGrid w:val="0"/>
        <w:spacing w:before="120" w:beforeLines="50" w:after="120" w:afterLines="50" w:line="440" w:lineRule="exact"/>
        <w:rPr>
          <w:rFonts w:hAnsi="宋体"/>
          <w:b/>
          <w:bCs/>
        </w:rPr>
      </w:pPr>
      <w:r>
        <w:rPr>
          <w:rFonts w:hint="eastAsia" w:hAnsi="宋体"/>
          <w:b/>
          <w:bCs/>
        </w:rPr>
        <w:t>6．联合体形式</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6.1除</w:t>
      </w:r>
      <w:r>
        <w:rPr>
          <w:rFonts w:hint="eastAsia" w:hAnsi="宋体"/>
          <w:b/>
          <w:bCs/>
        </w:rPr>
        <w:t>【磋商须知前附表】</w:t>
      </w:r>
      <w:r>
        <w:rPr>
          <w:rFonts w:hint="eastAsia" w:hAnsi="宋体"/>
        </w:rPr>
        <w:t>中另有规定，本次磋商采购不接受为联合体形式的供应商。</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6.2供应商为联合体形式的，除应符合本章第3条规定外，还应遵守以下规定：</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（l）联合体各方必须签订联合体协议书，明确联合体牵头人和各方的义务、工作、合同工作量比例；</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（2）联合体各方均应当符合本章第3.1</w:t>
      </w:r>
      <w:r>
        <w:rPr>
          <w:rFonts w:hint="eastAsia" w:ascii="宋体" w:hAnsi="宋体"/>
          <w:kern w:val="0"/>
          <w:szCs w:val="21"/>
        </w:rPr>
        <w:t>款</w:t>
      </w:r>
      <w:r>
        <w:rPr>
          <w:rFonts w:hint="eastAsia" w:ascii="宋体" w:hAnsi="宋体"/>
          <w:szCs w:val="21"/>
        </w:rPr>
        <w:t>规定的供应商基本资格条件；</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（3）除</w:t>
      </w:r>
      <w:r>
        <w:rPr>
          <w:rFonts w:hint="eastAsia" w:ascii="宋体" w:hAnsi="宋体"/>
          <w:b/>
          <w:bCs/>
          <w:szCs w:val="21"/>
        </w:rPr>
        <w:t>【磋商须知前附表】</w:t>
      </w:r>
      <w:r>
        <w:rPr>
          <w:rFonts w:hint="eastAsia" w:ascii="宋体" w:hAnsi="宋体"/>
          <w:szCs w:val="21"/>
        </w:rPr>
        <w:t>中另有规定，联合体各方中至少有一方应当符合本章第3.1</w:t>
      </w:r>
      <w:r>
        <w:rPr>
          <w:rFonts w:hint="eastAsia" w:ascii="宋体" w:hAnsi="宋体"/>
          <w:kern w:val="0"/>
          <w:szCs w:val="21"/>
        </w:rPr>
        <w:t>款</w:t>
      </w:r>
      <w:r>
        <w:rPr>
          <w:rFonts w:hint="eastAsia" w:ascii="宋体" w:hAnsi="宋体"/>
          <w:szCs w:val="21"/>
        </w:rPr>
        <w:t>规定的供应商特定资格条件；</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szCs w:val="21"/>
        </w:rPr>
        <w:t>（4）</w:t>
      </w:r>
      <w:r>
        <w:rPr>
          <w:rFonts w:hint="eastAsia" w:ascii="宋体" w:hAnsi="宋体"/>
          <w:kern w:val="0"/>
          <w:szCs w:val="21"/>
        </w:rPr>
        <w:t>联合体各方不得再单独或与其他供应商组成新的联合体参加同一项目的采购活动。</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7.现场勘察</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7.1供应商应按</w:t>
      </w:r>
      <w:r>
        <w:rPr>
          <w:rFonts w:hint="eastAsia" w:ascii="宋体" w:hAnsi="宋体"/>
          <w:b/>
          <w:bCs/>
          <w:szCs w:val="21"/>
        </w:rPr>
        <w:t>【磋商须知前附表】</w:t>
      </w:r>
      <w:r>
        <w:rPr>
          <w:rFonts w:hint="eastAsia" w:ascii="宋体" w:hAnsi="宋体"/>
          <w:szCs w:val="21"/>
        </w:rPr>
        <w:t>中规定对采购项目现场和周围环境的现场考察。</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7.2勘察现场的费用由供应商自己承担，勘察期间所发生的人身伤害及财产损失由供应商自己负责。</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7.3采购人不对供应商据此而做出的推论、理解和结论负责。一旦成交，供应商不得以任何借口，提出额外补偿，或延长合同期限的要求。</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8.采购进口产品</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8.1除</w:t>
      </w:r>
      <w:r>
        <w:rPr>
          <w:rFonts w:hint="eastAsia" w:ascii="宋体" w:hAnsi="宋体"/>
          <w:b/>
          <w:bCs/>
          <w:szCs w:val="21"/>
        </w:rPr>
        <w:t>【磋商须知前附表】</w:t>
      </w:r>
      <w:r>
        <w:rPr>
          <w:rFonts w:hint="eastAsia" w:ascii="宋体" w:hAnsi="宋体"/>
          <w:szCs w:val="21"/>
        </w:rPr>
        <w:t>另有规定外，本项目拒绝进口产品参加竞争性磋商采购活动。</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8.2本章第7.1</w:t>
      </w:r>
      <w:r>
        <w:rPr>
          <w:rFonts w:hint="eastAsia" w:ascii="宋体" w:hAnsi="宋体"/>
          <w:szCs w:val="21"/>
          <w:lang w:val="zh-CN"/>
        </w:rPr>
        <w:t>款</w:t>
      </w:r>
      <w:r>
        <w:rPr>
          <w:rFonts w:hint="eastAsia" w:ascii="宋体" w:hAnsi="宋体"/>
          <w:szCs w:val="21"/>
        </w:rPr>
        <w:t>规定同意购买进口产品的，本项目</w:t>
      </w:r>
      <w:r>
        <w:rPr>
          <w:rFonts w:hint="eastAsia" w:ascii="宋体" w:hAnsi="宋体"/>
          <w:szCs w:val="21"/>
          <w:lang w:val="zh-CN"/>
        </w:rPr>
        <w:t>采购活动</w:t>
      </w:r>
      <w:r>
        <w:rPr>
          <w:rFonts w:hint="eastAsia" w:ascii="宋体" w:hAnsi="宋体"/>
          <w:szCs w:val="21"/>
        </w:rPr>
        <w:t>不限制满足磋商文件要求的国内产品参与竞争性磋商。</w:t>
      </w:r>
    </w:p>
    <w:p>
      <w:pPr>
        <w:pageBreakBefore w:val="0"/>
        <w:kinsoku/>
        <w:wordWrap/>
        <w:overflowPunct/>
        <w:bidi w:val="0"/>
        <w:adjustRightInd w:val="0"/>
        <w:snapToGrid w:val="0"/>
        <w:spacing w:before="120" w:beforeLines="50" w:after="120" w:afterLines="50" w:line="440" w:lineRule="exact"/>
        <w:jc w:val="left"/>
        <w:rPr>
          <w:rFonts w:ascii="宋体" w:hAnsi="宋体"/>
          <w:b/>
          <w:bCs/>
          <w:szCs w:val="21"/>
        </w:rPr>
      </w:pPr>
      <w:r>
        <w:rPr>
          <w:rFonts w:hint="eastAsia" w:ascii="宋体" w:hAnsi="宋体"/>
          <w:b/>
          <w:bCs/>
          <w:szCs w:val="21"/>
        </w:rPr>
        <w:t>9. 政府采购政策支持</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cs="宋体"/>
          <w:kern w:val="0"/>
          <w:szCs w:val="21"/>
        </w:rPr>
      </w:pPr>
      <w:r>
        <w:rPr>
          <w:rFonts w:hint="eastAsia" w:ascii="宋体" w:hAnsi="宋体" w:cs="宋体"/>
          <w:kern w:val="0"/>
          <w:szCs w:val="21"/>
        </w:rPr>
        <w:t>9.1对列入财政部、</w:t>
      </w:r>
      <w:r>
        <w:rPr>
          <w:rFonts w:hint="eastAsia" w:ascii="宋体" w:hAnsi="宋体"/>
          <w:szCs w:val="21"/>
        </w:rPr>
        <w:t>国家发展改革委发布的</w:t>
      </w:r>
      <w:r>
        <w:rPr>
          <w:rFonts w:hint="eastAsia" w:ascii="宋体" w:hAnsi="宋体" w:cs="宋体"/>
          <w:kern w:val="0"/>
          <w:szCs w:val="21"/>
        </w:rPr>
        <w:t>《节能产品政府采购清单》且属于应当“强制采购的节能产品”，按照规定实行强制采购。实行政府采购强制采购的节能产品见</w:t>
      </w:r>
      <w:r>
        <w:rPr>
          <w:rFonts w:hint="eastAsia" w:ascii="宋体" w:hAnsi="宋体"/>
          <w:b/>
          <w:bCs/>
          <w:szCs w:val="21"/>
        </w:rPr>
        <w:t>【磋商须知前附表】</w:t>
      </w:r>
      <w:r>
        <w:rPr>
          <w:rFonts w:hint="eastAsia" w:ascii="宋体" w:hAnsi="宋体" w:cs="宋体"/>
          <w:b/>
          <w:kern w:val="0"/>
          <w:szCs w:val="21"/>
        </w:rPr>
        <w:t>。</w:t>
      </w:r>
    </w:p>
    <w:p>
      <w:pPr>
        <w:pageBreakBefore w:val="0"/>
        <w:kinsoku/>
        <w:wordWrap/>
        <w:overflowPunct/>
        <w:bidi w:val="0"/>
        <w:adjustRightInd w:val="0"/>
        <w:snapToGrid w:val="0"/>
        <w:spacing w:before="120" w:beforeLines="50" w:after="120" w:afterLines="50" w:line="440" w:lineRule="exact"/>
        <w:ind w:firstLine="420" w:firstLineChars="200"/>
        <w:jc w:val="left"/>
      </w:pPr>
      <w:r>
        <w:rPr>
          <w:rFonts w:hint="eastAsia" w:ascii="宋体" w:hAnsi="宋体" w:cs="宋体"/>
          <w:kern w:val="0"/>
        </w:rPr>
        <w:t>9.2对列</w:t>
      </w:r>
      <w:r>
        <w:rPr>
          <w:rFonts w:hint="eastAsia" w:hAnsi="宋体" w:cs="宋体"/>
          <w:kern w:val="0"/>
        </w:rPr>
        <w:t>入财政部、</w:t>
      </w:r>
      <w:r>
        <w:rPr>
          <w:rFonts w:hint="eastAsia" w:ascii="宋体" w:hAnsi="宋体"/>
          <w:szCs w:val="21"/>
        </w:rPr>
        <w:t>国家发展改革委发布的</w:t>
      </w:r>
      <w:r>
        <w:rPr>
          <w:rFonts w:hint="eastAsia" w:hAnsi="宋体" w:cs="宋体"/>
          <w:kern w:val="0"/>
        </w:rPr>
        <w:t>《节能产品政府采购清单》的“非强制采购节能产品”，财政部、环境保护部发布的《环境标志产品政府采购清单》的“环境标志产品”，湖南省财政厅、湖南省科技厅、湖南省长株潭“两型社会”试验区建设管理委员会发布的《湖南省两型产品政府采购目录》以及小微企业，实行优先采购，按照省级以上财政部门有关政策规定，评审时进行价格扣除或加分。实行政府采购优先采购的优惠率见</w:t>
      </w:r>
      <w:r>
        <w:rPr>
          <w:rFonts w:hint="eastAsia" w:ascii="宋体" w:hAnsi="宋体"/>
          <w:b/>
          <w:bCs/>
          <w:szCs w:val="21"/>
        </w:rPr>
        <w:t>【磋商须知前附表】</w:t>
      </w:r>
      <w:r>
        <w:rPr>
          <w:rFonts w:hint="eastAsia" w:hAnsi="宋体" w:cs="宋体"/>
          <w:b/>
          <w:kern w:val="0"/>
        </w:rPr>
        <w:t>。</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cs="宋体"/>
          <w:kern w:val="0"/>
          <w:szCs w:val="21"/>
        </w:rPr>
      </w:pPr>
      <w:r>
        <w:rPr>
          <w:rFonts w:hint="eastAsia" w:ascii="宋体" w:hAnsi="宋体" w:cs="宋体"/>
          <w:kern w:val="0"/>
          <w:szCs w:val="21"/>
        </w:rPr>
        <w:t>9.3产品同时属于“</w:t>
      </w:r>
      <w:r>
        <w:rPr>
          <w:rFonts w:hint="eastAsia" w:ascii="宋体" w:hAnsi="宋体"/>
          <w:szCs w:val="21"/>
        </w:rPr>
        <w:t>非强制采购节能产品</w:t>
      </w:r>
      <w:r>
        <w:rPr>
          <w:rFonts w:hint="eastAsia" w:ascii="宋体" w:hAnsi="宋体" w:cs="宋体"/>
          <w:kern w:val="0"/>
          <w:szCs w:val="21"/>
        </w:rPr>
        <w:t>”、“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r>
        <w:rPr>
          <w:rFonts w:hint="eastAsia" w:ascii="宋体" w:hAnsi="宋体"/>
        </w:rPr>
        <w:t>供应商同时符合小型、微型企业及监狱企业、残疾人福利性单位要求的，评审时只有一种类型享受价格评审优惠政策；</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cs="宋体"/>
          <w:kern w:val="0"/>
          <w:szCs w:val="21"/>
        </w:rPr>
      </w:pPr>
      <w:r>
        <w:rPr>
          <w:rFonts w:hint="eastAsia" w:ascii="宋体" w:hAnsi="宋体" w:cs="宋体"/>
          <w:kern w:val="0"/>
          <w:szCs w:val="21"/>
        </w:rPr>
        <w:t>9.4</w:t>
      </w:r>
      <w:r>
        <w:rPr>
          <w:rFonts w:hint="eastAsia" w:ascii="宋体" w:hAnsi="宋体"/>
        </w:rPr>
        <w:t>监狱企业：按《财政部 司法部关于政府采购支持监狱企业发展有关问题的通知》(财库〔2014〕68号)文件规定提供证明文件（复印件）。残疾人福利性单位：按《三部门联合发布关于促进残疾人就业政府采购政策的通知》(财库〔2017〕141号)文件规定提供《残疾人福利性单位声明函》（格式）。监狱企业、残疾人福利性单位视同小型、微型企业</w:t>
      </w:r>
      <w:r>
        <w:rPr>
          <w:rFonts w:hint="eastAsia" w:ascii="宋体" w:hAnsi="宋体"/>
          <w:szCs w:val="21"/>
        </w:rPr>
        <w:t>，享受评审中价格扣除等促进中小企业发展的政府采购政策</w:t>
      </w:r>
      <w:r>
        <w:rPr>
          <w:rFonts w:hint="eastAsia" w:ascii="宋体" w:hAnsi="宋体"/>
        </w:rPr>
        <w:t>。</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9.5同一项目中部分产品属于优先采购政策的，评审时只对该部分产品的报价实行价格扣除及加分。</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9.6符合本章第9.1</w:t>
      </w:r>
      <w:r>
        <w:rPr>
          <w:rFonts w:hint="eastAsia" w:ascii="宋体" w:hAnsi="宋体" w:cs="宋体"/>
          <w:kern w:val="0"/>
          <w:szCs w:val="21"/>
          <w:lang w:val="zh-CN"/>
        </w:rPr>
        <w:t>款、</w:t>
      </w:r>
      <w:r>
        <w:rPr>
          <w:rFonts w:hint="eastAsia" w:ascii="宋体" w:hAnsi="宋体"/>
          <w:szCs w:val="21"/>
        </w:rPr>
        <w:t>第9.2</w:t>
      </w:r>
      <w:r>
        <w:rPr>
          <w:rFonts w:hint="eastAsia" w:ascii="宋体" w:hAnsi="宋体" w:cs="宋体"/>
          <w:kern w:val="0"/>
          <w:szCs w:val="21"/>
          <w:lang w:val="zh-CN"/>
        </w:rPr>
        <w:t>款、</w:t>
      </w:r>
      <w:r>
        <w:rPr>
          <w:rFonts w:hint="eastAsia" w:ascii="宋体" w:hAnsi="宋体" w:cs="宋体"/>
          <w:kern w:val="0"/>
          <w:szCs w:val="21"/>
        </w:rPr>
        <w:t>9.4款</w:t>
      </w:r>
      <w:r>
        <w:rPr>
          <w:rFonts w:hint="eastAsia" w:ascii="宋体" w:hAnsi="宋体"/>
          <w:szCs w:val="21"/>
        </w:rPr>
        <w:t>规定的，应提供相关证明资料。</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9.7供应商有融资、担保需求的，具体办理流程可向</w:t>
      </w:r>
      <w:r>
        <w:rPr>
          <w:rFonts w:hint="eastAsia" w:ascii="宋体" w:hAnsi="宋体"/>
          <w:b/>
          <w:bCs/>
          <w:szCs w:val="21"/>
        </w:rPr>
        <w:t>【磋商须知前附表】</w:t>
      </w:r>
      <w:r>
        <w:rPr>
          <w:rFonts w:hint="eastAsia" w:ascii="宋体" w:hAnsi="宋体"/>
          <w:szCs w:val="21"/>
        </w:rPr>
        <w:t>所列金融机构和担保机构询问。</w:t>
      </w:r>
    </w:p>
    <w:p>
      <w:pPr>
        <w:pStyle w:val="9"/>
        <w:pageBreakBefore w:val="0"/>
        <w:kinsoku/>
        <w:wordWrap/>
        <w:overflowPunct/>
        <w:bidi w:val="0"/>
        <w:spacing w:before="240" w:beforeLines="100" w:after="120" w:line="440" w:lineRule="exact"/>
        <w:jc w:val="center"/>
        <w:rPr>
          <w:rFonts w:ascii="黑体" w:hAnsi="宋体" w:eastAsia="黑体"/>
          <w:b w:val="0"/>
          <w:sz w:val="28"/>
          <w:szCs w:val="28"/>
        </w:rPr>
      </w:pPr>
      <w:bookmarkStart w:id="10" w:name="_Toc17964"/>
      <w:r>
        <w:rPr>
          <w:rFonts w:hint="eastAsia" w:ascii="黑体" w:hAnsi="宋体" w:eastAsia="黑体"/>
          <w:b w:val="0"/>
          <w:sz w:val="28"/>
          <w:szCs w:val="28"/>
        </w:rPr>
        <w:t>二、磋商文件</w:t>
      </w:r>
      <w:bookmarkEnd w:id="10"/>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10．磋商文件的组成</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10.1 磋商文件由下列文件组成：</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第一章 磋商邀请</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第二章 磋商须知</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第三章 政府采购合同格式条款</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第四章 采购需求</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第五章 响应文件组成</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kern w:val="0"/>
        </w:rPr>
      </w:pPr>
      <w:r>
        <w:rPr>
          <w:rFonts w:hint="eastAsia" w:hAnsi="宋体"/>
        </w:rPr>
        <w:t>10.2</w:t>
      </w:r>
      <w:r>
        <w:rPr>
          <w:rFonts w:hint="eastAsia" w:hAnsi="宋体"/>
          <w:kern w:val="0"/>
        </w:rPr>
        <w:t>磋商小组根据与供应商磋商情况可能实质性变动的内容，包括采购需求中的技术、服务要求以及合同条款，</w:t>
      </w:r>
      <w:r>
        <w:rPr>
          <w:rFonts w:hint="eastAsia" w:hAnsi="宋体"/>
        </w:rPr>
        <w:t>在</w:t>
      </w:r>
      <w:r>
        <w:rPr>
          <w:rFonts w:hint="eastAsia" w:hAnsi="宋体"/>
          <w:b/>
          <w:bCs/>
        </w:rPr>
        <w:t>【磋商须知前附表】</w:t>
      </w:r>
      <w:r>
        <w:rPr>
          <w:rFonts w:hint="eastAsia" w:hAnsi="宋体"/>
        </w:rPr>
        <w:t>中明确。</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10.3供应商应仔细阅读磋商文件的全部内容，按照磋商文件要求编制响应文件。任何对磋商文件的忽略或误解不能作为响应文件存在缺陷或瑕疵的理由，其风险由供应商承担。</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11. 磋商文件的提供期限</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11.1磋商文件的提供期限自开始发出之日起不得少于五个工作日。具体提供期限见</w:t>
      </w:r>
      <w:r>
        <w:rPr>
          <w:rFonts w:hint="eastAsia" w:hAnsi="宋体"/>
          <w:b/>
          <w:bCs/>
        </w:rPr>
        <w:t>【磋商须知前附表】</w:t>
      </w:r>
      <w:r>
        <w:rPr>
          <w:rFonts w:hint="eastAsia" w:ascii="宋体" w:hAnsi="宋体"/>
          <w:szCs w:val="21"/>
        </w:rPr>
        <w:t>。</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11.2供应商应持</w:t>
      </w:r>
      <w:r>
        <w:rPr>
          <w:rFonts w:hint="eastAsia" w:hAnsi="宋体"/>
          <w:b/>
          <w:bCs/>
        </w:rPr>
        <w:t>【磋商须知前附表】</w:t>
      </w:r>
      <w:r>
        <w:rPr>
          <w:rFonts w:hint="eastAsia" w:ascii="宋体" w:hAnsi="宋体"/>
          <w:szCs w:val="21"/>
        </w:rPr>
        <w:t>规定的资料领取或购买磋商文件。</w:t>
      </w:r>
    </w:p>
    <w:p>
      <w:pPr>
        <w:pStyle w:val="18"/>
        <w:pageBreakBefore w:val="0"/>
        <w:kinsoku/>
        <w:wordWrap/>
        <w:overflowPunct/>
        <w:bidi w:val="0"/>
        <w:adjustRightInd w:val="0"/>
        <w:snapToGrid w:val="0"/>
        <w:spacing w:before="120" w:beforeLines="50" w:after="120" w:afterLines="50" w:line="440" w:lineRule="exact"/>
        <w:rPr>
          <w:rFonts w:hAnsi="宋体"/>
        </w:rPr>
      </w:pPr>
      <w:r>
        <w:rPr>
          <w:rFonts w:hint="eastAsia" w:hAnsi="宋体"/>
          <w:b/>
          <w:bCs/>
        </w:rPr>
        <w:t>12.</w:t>
      </w:r>
      <w:r>
        <w:rPr>
          <w:rFonts w:hint="eastAsia" w:hAnsi="宋体"/>
          <w:b/>
          <w:bCs/>
          <w:kern w:val="0"/>
        </w:rPr>
        <w:t>提交首次响应文件</w:t>
      </w:r>
      <w:r>
        <w:rPr>
          <w:rFonts w:hint="eastAsia" w:hAnsi="宋体"/>
          <w:b/>
          <w:bCs/>
        </w:rPr>
        <w:t>的</w:t>
      </w:r>
      <w:r>
        <w:rPr>
          <w:rFonts w:hint="eastAsia" w:hAnsi="宋体"/>
          <w:b/>
          <w:bCs/>
          <w:kern w:val="0"/>
        </w:rPr>
        <w:t>截止</w:t>
      </w:r>
      <w:r>
        <w:rPr>
          <w:rFonts w:hint="eastAsia" w:hAnsi="宋体"/>
          <w:b/>
          <w:bCs/>
        </w:rPr>
        <w:t>时间</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12.1</w:t>
      </w:r>
      <w:r>
        <w:rPr>
          <w:rFonts w:hint="eastAsia" w:hAnsi="宋体"/>
          <w:kern w:val="0"/>
        </w:rPr>
        <w:t>供应商提交首次响应文件截止</w:t>
      </w:r>
      <w:r>
        <w:rPr>
          <w:rFonts w:hint="eastAsia" w:hAnsi="宋体"/>
        </w:rPr>
        <w:t>时间见</w:t>
      </w:r>
      <w:r>
        <w:rPr>
          <w:rFonts w:hint="eastAsia" w:hAnsi="宋体"/>
          <w:b/>
          <w:bCs/>
        </w:rPr>
        <w:t>【磋商须知前附表】</w:t>
      </w:r>
      <w:r>
        <w:rPr>
          <w:rFonts w:hint="eastAsia" w:hAnsi="宋体"/>
        </w:rPr>
        <w:t>。</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13.磋商文件的澄清</w:t>
      </w:r>
      <w:r>
        <w:rPr>
          <w:rFonts w:hint="eastAsia" w:ascii="宋体" w:hAnsi="宋体"/>
          <w:b/>
          <w:bCs/>
          <w:kern w:val="0"/>
          <w:szCs w:val="21"/>
        </w:rPr>
        <w:t>或者</w:t>
      </w:r>
      <w:r>
        <w:rPr>
          <w:rFonts w:hint="eastAsia" w:ascii="宋体" w:hAnsi="宋体"/>
          <w:b/>
          <w:bCs/>
          <w:szCs w:val="21"/>
        </w:rPr>
        <w:t>修改</w:t>
      </w:r>
    </w:p>
    <w:p>
      <w:pPr>
        <w:pageBreakBefore w:val="0"/>
        <w:kinsoku/>
        <w:wordWrap/>
        <w:overflowPunct/>
        <w:bidi w:val="0"/>
        <w:adjustRightInd w:val="0"/>
        <w:snapToGrid w:val="0"/>
        <w:spacing w:before="120" w:beforeLines="50" w:after="120" w:afterLines="50" w:line="440" w:lineRule="exact"/>
        <w:ind w:right="-105" w:rightChars="-50" w:firstLine="420" w:firstLineChars="200"/>
        <w:rPr>
          <w:rFonts w:ascii="宋体" w:hAnsi="宋体"/>
          <w:kern w:val="0"/>
          <w:szCs w:val="21"/>
        </w:rPr>
      </w:pPr>
      <w:r>
        <w:rPr>
          <w:rFonts w:hint="eastAsia" w:ascii="宋体" w:hAnsi="宋体"/>
          <w:szCs w:val="21"/>
        </w:rPr>
        <w:t>13.1在</w:t>
      </w:r>
      <w:r>
        <w:rPr>
          <w:rFonts w:hint="eastAsia" w:ascii="宋体" w:hAnsi="宋体"/>
          <w:kern w:val="0"/>
          <w:szCs w:val="21"/>
        </w:rPr>
        <w:t>提交首次响应文件截止之日前，采购人、采购代理机构可以对已发出的磋商文件进行必要的澄清或者修改。</w:t>
      </w:r>
    </w:p>
    <w:p>
      <w:pPr>
        <w:pageBreakBefore w:val="0"/>
        <w:kinsoku/>
        <w:wordWrap/>
        <w:overflowPunct/>
        <w:bidi w:val="0"/>
        <w:adjustRightInd w:val="0"/>
        <w:snapToGrid w:val="0"/>
        <w:spacing w:before="120" w:beforeLines="50" w:after="120" w:afterLines="50" w:line="440" w:lineRule="exact"/>
        <w:ind w:right="-105" w:rightChars="-50" w:firstLine="420" w:firstLineChars="200"/>
        <w:rPr>
          <w:rFonts w:ascii="宋体" w:hAnsi="宋体"/>
          <w:kern w:val="0"/>
          <w:szCs w:val="21"/>
        </w:rPr>
      </w:pPr>
      <w:r>
        <w:rPr>
          <w:rFonts w:hint="eastAsia" w:ascii="宋体" w:hAnsi="宋体"/>
          <w:szCs w:val="21"/>
        </w:rPr>
        <w:t>13.2</w:t>
      </w:r>
      <w:r>
        <w:rPr>
          <w:rFonts w:hint="eastAsia" w:ascii="宋体" w:hAnsi="宋体"/>
          <w:kern w:val="0"/>
          <w:szCs w:val="21"/>
        </w:rPr>
        <w:t>澄清或者修改的内容可能影响响应文件编制的，采购人、采购代理机构应当在提交首次响应文件截止之日5个工作日前，以书面形式通知所有接收磋商文件的供应商，不足5个工作日的，顺延供应商提交首次响应文件截止时间。</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13.3</w:t>
      </w:r>
      <w:r>
        <w:rPr>
          <w:rFonts w:hint="eastAsia" w:hAnsi="宋体"/>
          <w:kern w:val="0"/>
        </w:rPr>
        <w:t>提交首次响应文件截止时间前对磋商文件澄清或者修改内容，为磋商文件的组成部分。</w:t>
      </w:r>
    </w:p>
    <w:p>
      <w:pPr>
        <w:pStyle w:val="9"/>
        <w:pageBreakBefore w:val="0"/>
        <w:kinsoku/>
        <w:wordWrap/>
        <w:overflowPunct/>
        <w:bidi w:val="0"/>
        <w:spacing w:before="240" w:beforeLines="100" w:after="120" w:line="440" w:lineRule="exact"/>
        <w:jc w:val="center"/>
        <w:rPr>
          <w:rFonts w:ascii="黑体" w:hAnsi="宋体" w:eastAsia="黑体"/>
          <w:b w:val="0"/>
          <w:sz w:val="28"/>
          <w:szCs w:val="28"/>
        </w:rPr>
      </w:pPr>
      <w:bookmarkStart w:id="11" w:name="_Toc21799"/>
      <w:r>
        <w:rPr>
          <w:rFonts w:hint="eastAsia" w:ascii="黑体" w:hAnsi="宋体" w:eastAsia="黑体"/>
          <w:b w:val="0"/>
          <w:sz w:val="28"/>
          <w:szCs w:val="28"/>
        </w:rPr>
        <w:t>三、响应文件</w:t>
      </w:r>
      <w:bookmarkEnd w:id="11"/>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14.一般要求</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14.1 供应商应仔细阅读磋商文件的所有内容，按磋商文件的要求编制响应文件，并保证所提供的全部资料的真实性，以使其响应文件对磋商文件做出实质性的响应。</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14.2 供应商提交的响应文件及供应商与采购人或采购代理机构、磋商小组就有关磋商的所有来往函电均使用中文。供应商可以提交其它语言的资料，但应附中文注释，在有差异时以中文为准。</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14.3 计量单位应使用我国法定计量单位，未列明时应默认为我国法定计量单位。</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14.4 响应文件应采用书面形式，电报、传真、电子邮件形式的响应文件概不接受。</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14.5 供应商应按磋商文件中提供的响应文件格式填写。</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15.响应文件的组成</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 xml:space="preserve">15.1 响应文件包括下列内容： </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磋商响应声明</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供应商的资格证明材料</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服务方案说明</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技术/商务响应与偏离表</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提供政府采购政策产品等证明</w:t>
      </w:r>
      <w:r>
        <w:rPr>
          <w:rFonts w:hint="eastAsia" w:ascii="Calibri" w:hAnsi="宋体" w:cs="Times New Roman"/>
        </w:rPr>
        <w:t>材料</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报价一览表及报价文件</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供应商认为需提供的其他资料</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最后报价</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15.2在磋商过程中，供应商根据</w:t>
      </w:r>
      <w:r>
        <w:rPr>
          <w:rFonts w:hint="eastAsia" w:ascii="宋体" w:hAnsi="宋体"/>
          <w:kern w:val="0"/>
          <w:szCs w:val="21"/>
        </w:rPr>
        <w:t>磋商小组</w:t>
      </w:r>
      <w:r>
        <w:rPr>
          <w:rFonts w:hint="eastAsia" w:ascii="宋体" w:hAnsi="宋体"/>
          <w:szCs w:val="21"/>
        </w:rPr>
        <w:t>书面形式要求</w:t>
      </w:r>
      <w:r>
        <w:rPr>
          <w:rFonts w:hint="eastAsia" w:ascii="宋体" w:hAnsi="宋体"/>
          <w:kern w:val="0"/>
          <w:szCs w:val="21"/>
        </w:rPr>
        <w:t>提交的</w:t>
      </w:r>
      <w:r>
        <w:rPr>
          <w:rFonts w:hint="eastAsia" w:ascii="宋体" w:hAnsi="宋体"/>
          <w:szCs w:val="21"/>
        </w:rPr>
        <w:t>最后报价(或者重</w:t>
      </w:r>
      <w:r>
        <w:rPr>
          <w:rFonts w:hint="eastAsia" w:ascii="宋体" w:hAnsi="宋体"/>
          <w:kern w:val="0"/>
          <w:szCs w:val="21"/>
        </w:rPr>
        <w:t>新提交的响应文件和</w:t>
      </w:r>
      <w:r>
        <w:rPr>
          <w:rFonts w:hint="eastAsia" w:ascii="宋体" w:hAnsi="宋体"/>
          <w:szCs w:val="21"/>
        </w:rPr>
        <w:t>最后报价)是响应文件的有效组成部分。</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b/>
          <w:bCs/>
          <w:szCs w:val="21"/>
        </w:rPr>
      </w:pPr>
      <w:r>
        <w:rPr>
          <w:rFonts w:hint="eastAsia" w:ascii="宋体" w:hAnsi="宋体"/>
          <w:szCs w:val="21"/>
        </w:rPr>
        <w:t>15.3</w:t>
      </w:r>
      <w:r>
        <w:rPr>
          <w:rFonts w:hint="eastAsia" w:ascii="宋体" w:hAnsi="宋体"/>
          <w:kern w:val="0"/>
          <w:szCs w:val="21"/>
        </w:rPr>
        <w:t>磋商文件规定可能发生实质性变动的，供应商应当在</w:t>
      </w:r>
      <w:r>
        <w:rPr>
          <w:rFonts w:hint="eastAsia" w:ascii="宋体" w:hAnsi="宋体"/>
          <w:szCs w:val="21"/>
        </w:rPr>
        <w:t>《技术/商务响应与偏离表》中对应内容注明。</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15.4根据《政府采购法》第四十二条的规定，供应商无论成交与否，其响应文件不予退还。</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16.报价</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16.1供应商应当根据磋商文件要求和范围，以人民币报价，以元为单位，保留小数点后两位。</w:t>
      </w:r>
    </w:p>
    <w:p>
      <w:pPr>
        <w:pStyle w:val="66"/>
        <w:pageBreakBefore w:val="0"/>
        <w:kinsoku/>
        <w:wordWrap/>
        <w:overflowPunct/>
        <w:bidi w:val="0"/>
        <w:adjustRightInd w:val="0"/>
        <w:snapToGrid w:val="0"/>
        <w:spacing w:before="120" w:beforeLines="50" w:after="120" w:afterLines="50" w:line="440" w:lineRule="exact"/>
        <w:ind w:firstLine="420" w:firstLineChars="200"/>
      </w:pPr>
      <w:r>
        <w:rPr>
          <w:rFonts w:hint="eastAsia"/>
        </w:rPr>
        <w:t>16.2供应商应按第五章 响应文件组成格式填写。</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16.3响应文件中标明的价格在合同执行过程中是固定不变的，不得以任何理由予以变更。以可变动价格提交的报价将被认为是非实质响应而被拒绝。</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16.4</w:t>
      </w:r>
      <w:r>
        <w:rPr>
          <w:rFonts w:hint="eastAsia" w:hAnsi="宋体"/>
          <w:kern w:val="0"/>
        </w:rPr>
        <w:t>供应商</w:t>
      </w:r>
      <w:r>
        <w:rPr>
          <w:rFonts w:hint="eastAsia" w:hAnsi="宋体"/>
        </w:rPr>
        <w:t>的报价不得超过采购项目预算，采购项目预算或其计算方法见</w:t>
      </w:r>
      <w:r>
        <w:rPr>
          <w:rFonts w:hint="eastAsia" w:hAnsi="宋体"/>
          <w:b/>
          <w:bCs/>
        </w:rPr>
        <w:t>【磋商须知前附表】</w:t>
      </w:r>
      <w:r>
        <w:rPr>
          <w:rFonts w:hint="eastAsia" w:hAnsi="宋体"/>
        </w:rPr>
        <w:t>。</w:t>
      </w:r>
    </w:p>
    <w:p>
      <w:pPr>
        <w:pStyle w:val="18"/>
        <w:pageBreakBefore w:val="0"/>
        <w:kinsoku/>
        <w:wordWrap/>
        <w:overflowPunct/>
        <w:bidi w:val="0"/>
        <w:adjustRightInd w:val="0"/>
        <w:snapToGrid w:val="0"/>
        <w:spacing w:before="120" w:beforeLines="50" w:after="120" w:afterLines="50" w:line="440" w:lineRule="exact"/>
        <w:rPr>
          <w:rFonts w:hAnsi="宋体"/>
          <w:b/>
          <w:bCs/>
        </w:rPr>
      </w:pPr>
      <w:r>
        <w:rPr>
          <w:rFonts w:hint="eastAsia" w:hAnsi="宋体"/>
          <w:b/>
          <w:bCs/>
        </w:rPr>
        <w:t>17.供应商符合磋商文件规定的证明文件</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17.1供应商应提交满足本章第3.1款规定的资格条件要求的证明文件,该证明文件作为响应文件的一部分。</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17.2如果供应商为联合体，则应提交联合体各方资格证明文件、联合体协议。否则，在评审时将其视为无效响应。</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17.3 除</w:t>
      </w:r>
      <w:r>
        <w:rPr>
          <w:rFonts w:hint="eastAsia" w:hAnsi="宋体"/>
          <w:b/>
          <w:bCs/>
        </w:rPr>
        <w:t>【磋商须知前附表】</w:t>
      </w:r>
      <w:r>
        <w:rPr>
          <w:rFonts w:hint="eastAsia" w:ascii="宋体" w:hAnsi="宋体"/>
          <w:szCs w:val="21"/>
        </w:rPr>
        <w:t>另有规定外，供应商提供的货物及服务不是供应商制造或拥有的，则必须提供经销、或代理采购货物、或采购货物提供售后服务的证明文件。</w:t>
      </w:r>
    </w:p>
    <w:p>
      <w:pPr>
        <w:pStyle w:val="18"/>
        <w:pageBreakBefore w:val="0"/>
        <w:kinsoku/>
        <w:wordWrap/>
        <w:overflowPunct/>
        <w:bidi w:val="0"/>
        <w:adjustRightInd w:val="0"/>
        <w:snapToGrid w:val="0"/>
        <w:spacing w:before="120" w:beforeLines="50" w:after="120" w:afterLines="50" w:line="440" w:lineRule="exact"/>
        <w:rPr>
          <w:rFonts w:hAnsi="宋体"/>
          <w:b/>
          <w:bCs/>
        </w:rPr>
      </w:pPr>
      <w:r>
        <w:rPr>
          <w:rFonts w:hint="eastAsia" w:hAnsi="宋体"/>
          <w:b/>
          <w:bCs/>
        </w:rPr>
        <w:t>18．样品提供</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 xml:space="preserve">18.1 </w:t>
      </w:r>
      <w:r>
        <w:rPr>
          <w:rFonts w:hint="eastAsia" w:hAnsi="宋体"/>
          <w:b/>
          <w:bCs/>
        </w:rPr>
        <w:t>【磋商须知前附表】</w:t>
      </w:r>
      <w:r>
        <w:rPr>
          <w:rFonts w:hint="eastAsia" w:ascii="宋体" w:hAnsi="宋体"/>
          <w:szCs w:val="21"/>
        </w:rPr>
        <w:t>规定供应商在磋商时提供样品的，供应商有以下情形之一的，在评审时将其视为无效响应。</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（1）未在</w:t>
      </w:r>
      <w:r>
        <w:rPr>
          <w:rFonts w:hint="eastAsia" w:hAnsi="宋体"/>
          <w:b/>
          <w:bCs/>
        </w:rPr>
        <w:t>【磋商须知前附表】</w:t>
      </w:r>
      <w:r>
        <w:rPr>
          <w:rFonts w:hint="eastAsia" w:ascii="宋体" w:hAnsi="宋体"/>
          <w:szCs w:val="21"/>
        </w:rPr>
        <w:t>规定的提交时间、地点提交的；</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（2）供应商提供的样品与响应文件中提供样品的型号、规格不一致的。</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19.磋商保证金</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bCs/>
        </w:rPr>
      </w:pPr>
      <w:r>
        <w:rPr>
          <w:rFonts w:hint="eastAsia" w:hAnsi="宋体"/>
        </w:rPr>
        <w:t>19.1</w:t>
      </w:r>
      <w:r>
        <w:rPr>
          <w:rFonts w:hint="eastAsia" w:hAnsi="宋体"/>
          <w:b/>
          <w:bCs/>
        </w:rPr>
        <w:t>【磋商须知前附表】</w:t>
      </w:r>
      <w:r>
        <w:rPr>
          <w:rFonts w:hint="eastAsia" w:hAnsi="宋体"/>
        </w:rPr>
        <w:t>规定交纳磋商</w:t>
      </w:r>
      <w:r>
        <w:rPr>
          <w:rFonts w:hint="eastAsia" w:hAnsi="宋体"/>
          <w:bCs/>
        </w:rPr>
        <w:t>保证金的</w:t>
      </w:r>
      <w:r>
        <w:rPr>
          <w:rFonts w:hint="eastAsia" w:hAnsi="宋体"/>
        </w:rPr>
        <w:t>，应按</w:t>
      </w:r>
      <w:r>
        <w:rPr>
          <w:rFonts w:hint="eastAsia" w:hAnsi="宋体"/>
          <w:b/>
          <w:bCs/>
        </w:rPr>
        <w:t>【磋商须知前附表】</w:t>
      </w:r>
      <w:r>
        <w:rPr>
          <w:rFonts w:hint="eastAsia" w:hAnsi="宋体"/>
        </w:rPr>
        <w:t>规定的磋商</w:t>
      </w:r>
      <w:r>
        <w:rPr>
          <w:rFonts w:hint="eastAsia" w:hAnsi="宋体"/>
          <w:bCs/>
        </w:rPr>
        <w:t>保证金形式交纳，不得以现金方式交纳</w:t>
      </w:r>
      <w:r>
        <w:rPr>
          <w:rFonts w:hint="eastAsia" w:hAnsi="宋体"/>
        </w:rPr>
        <w:t>，在</w:t>
      </w:r>
      <w:r>
        <w:rPr>
          <w:rFonts w:hint="eastAsia" w:hAnsi="宋体" w:cs="宋体"/>
          <w:kern w:val="0"/>
        </w:rPr>
        <w:t>提交首次响应文件截止时间</w:t>
      </w:r>
      <w:r>
        <w:rPr>
          <w:rFonts w:hint="eastAsia" w:hAnsi="宋体"/>
        </w:rPr>
        <w:t>前，</w:t>
      </w:r>
      <w:r>
        <w:rPr>
          <w:rFonts w:hint="eastAsia" w:hAnsi="宋体"/>
          <w:bCs/>
        </w:rPr>
        <w:t>向采购代理机构交纳不超过</w:t>
      </w:r>
      <w:r>
        <w:rPr>
          <w:rFonts w:hint="eastAsia" w:hAnsi="宋体" w:cs="宋体"/>
          <w:kern w:val="0"/>
          <w:lang w:val="zh-CN"/>
        </w:rPr>
        <w:t>采购项目预算2﹪</w:t>
      </w:r>
      <w:r>
        <w:rPr>
          <w:rFonts w:hint="eastAsia" w:hAnsi="宋体"/>
          <w:bCs/>
        </w:rPr>
        <w:t>的磋商保证金(数额采用四舍五入，计算至元)</w:t>
      </w:r>
      <w:r>
        <w:rPr>
          <w:rFonts w:hint="eastAsia" w:hAnsi="宋体"/>
        </w:rPr>
        <w:t>。磋商</w:t>
      </w:r>
      <w:r>
        <w:rPr>
          <w:rFonts w:hint="eastAsia" w:hAnsi="宋体"/>
          <w:bCs/>
        </w:rPr>
        <w:t>保证金有效期应当与</w:t>
      </w:r>
      <w:r>
        <w:rPr>
          <w:rFonts w:hint="eastAsia" w:hAnsi="宋体"/>
        </w:rPr>
        <w:t>本章第20.1</w:t>
      </w:r>
      <w:r>
        <w:rPr>
          <w:rFonts w:hint="eastAsia" w:hAnsi="宋体" w:cs="宋体"/>
          <w:kern w:val="0"/>
          <w:lang w:val="zh-CN"/>
        </w:rPr>
        <w:t>款</w:t>
      </w:r>
      <w:r>
        <w:rPr>
          <w:rFonts w:hint="eastAsia" w:hAnsi="宋体"/>
        </w:rPr>
        <w:t>规定的</w:t>
      </w:r>
      <w:r>
        <w:rPr>
          <w:rFonts w:hint="eastAsia" w:hAnsi="宋体"/>
          <w:bCs/>
        </w:rPr>
        <w:t>响应文件有效期一致。</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b/>
        </w:rPr>
      </w:pPr>
      <w:r>
        <w:rPr>
          <w:rFonts w:hint="eastAsia" w:hAnsi="宋体"/>
        </w:rPr>
        <w:t>19.2</w:t>
      </w:r>
      <w:r>
        <w:rPr>
          <w:rFonts w:hint="eastAsia" w:hAnsi="宋体" w:cs="宋体"/>
          <w:kern w:val="0"/>
          <w:lang w:val="zh-CN"/>
        </w:rPr>
        <w:t>供应商为联合体的，可以由联合体中的一方或者共同交纳磋商保证金，其交纳的磋商保证金，对联合体各方均具有约束力。</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19.3供应商未按照磋商文件要求提交磋商保证金的，响应无效。</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19.4采购代理机构在成交通知书发出后5个工作日内退还未成交供应商的磋商保证金；在采购合同签订后5个工作日内退还成交供应商。</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b/>
          <w:bCs/>
          <w:szCs w:val="21"/>
        </w:rPr>
      </w:pPr>
      <w:r>
        <w:rPr>
          <w:rFonts w:hint="eastAsia" w:ascii="宋体" w:hAnsi="宋体"/>
        </w:rPr>
        <w:t xml:space="preserve">19.5 </w:t>
      </w:r>
      <w:r>
        <w:rPr>
          <w:rFonts w:hint="eastAsia" w:ascii="宋体" w:hAnsi="宋体"/>
          <w:kern w:val="0"/>
        </w:rPr>
        <w:t>有下列</w:t>
      </w:r>
      <w:r>
        <w:rPr>
          <w:rFonts w:hint="eastAsia" w:hAnsi="宋体"/>
          <w:kern w:val="0"/>
        </w:rPr>
        <w:t>情形之一的，磋商保证金不予退还，并上缴本级财政国库：</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（1）供应商在提交首次响应文件截止时间后撤回响应文件的；</w:t>
      </w:r>
      <w:bookmarkStart w:id="49" w:name="_GoBack"/>
      <w:bookmarkEnd w:id="49"/>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（2）供应商在响应文件中提供虚假资料的；</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zCs w:val="21"/>
        </w:rPr>
        <w:t>确定成交结果后，无正当理由放弃成交资格的；</w:t>
      </w:r>
    </w:p>
    <w:p>
      <w:pPr>
        <w:pageBreakBefore w:val="0"/>
        <w:widowControl/>
        <w:kinsoku/>
        <w:wordWrap/>
        <w:overflowPunct/>
        <w:bidi w:val="0"/>
        <w:adjustRightInd w:val="0"/>
        <w:snapToGrid w:val="0"/>
        <w:spacing w:before="120" w:beforeLines="50" w:after="120" w:afterLines="50" w:line="440" w:lineRule="exact"/>
        <w:ind w:firstLine="525" w:firstLineChars="250"/>
        <w:jc w:val="left"/>
        <w:rPr>
          <w:rFonts w:ascii="宋体" w:hAnsi="宋体"/>
          <w:kern w:val="0"/>
          <w:szCs w:val="21"/>
        </w:rPr>
      </w:pPr>
      <w:r>
        <w:rPr>
          <w:rFonts w:hint="eastAsia" w:ascii="宋体" w:hAnsi="宋体"/>
          <w:kern w:val="0"/>
          <w:szCs w:val="21"/>
        </w:rPr>
        <w:t>(4) 除因不可抗力或磋商文件认可的情形以外，成交供应商不与采购人签订合同的；</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（5）供应商与采购人、其他供应商或者采购代理机构恶意串通的；</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（6）磋商文件规定的其他情形。</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20.响应文件有效期</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20.1 响应文件有效期见</w:t>
      </w:r>
      <w:r>
        <w:rPr>
          <w:rFonts w:hint="eastAsia" w:ascii="宋体" w:hAnsi="宋体"/>
          <w:b/>
          <w:bCs/>
          <w:szCs w:val="21"/>
        </w:rPr>
        <w:t>【磋商须知前附表】</w:t>
      </w:r>
      <w:r>
        <w:rPr>
          <w:rFonts w:hint="eastAsia" w:ascii="宋体" w:hAnsi="宋体"/>
          <w:szCs w:val="21"/>
        </w:rPr>
        <w:t>，在此期间响应文件对供应商具有法律约束力，</w:t>
      </w:r>
      <w:r>
        <w:rPr>
          <w:rFonts w:hint="eastAsia" w:ascii="宋体" w:hAnsi="宋体" w:cs="Arial"/>
          <w:szCs w:val="21"/>
        </w:rPr>
        <w:t>从</w:t>
      </w:r>
      <w:r>
        <w:rPr>
          <w:rFonts w:hint="eastAsia" w:ascii="宋体" w:hAnsi="宋体"/>
          <w:kern w:val="0"/>
          <w:szCs w:val="21"/>
        </w:rPr>
        <w:t>提交首次响应文件截止时间</w:t>
      </w:r>
      <w:r>
        <w:rPr>
          <w:rFonts w:hint="eastAsia" w:ascii="宋体" w:hAnsi="宋体"/>
          <w:szCs w:val="21"/>
        </w:rPr>
        <w:t>之日</w:t>
      </w:r>
      <w:r>
        <w:rPr>
          <w:rFonts w:hint="eastAsia" w:ascii="宋体" w:hAnsi="宋体" w:cs="Arial"/>
          <w:szCs w:val="21"/>
        </w:rPr>
        <w:t>起计算。</w:t>
      </w:r>
      <w:r>
        <w:rPr>
          <w:rFonts w:hint="eastAsia" w:ascii="宋体" w:hAnsi="宋体"/>
          <w:szCs w:val="21"/>
        </w:rPr>
        <w:t>响应文件有效期不足的将被视为无效响应。</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21.响应文件的签署及规定</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21.1 响应文件的正本和副本应装订成册，正本一份，副本份数见</w:t>
      </w:r>
      <w:r>
        <w:rPr>
          <w:rFonts w:hint="eastAsia" w:hAnsi="宋体"/>
          <w:b/>
          <w:bCs/>
        </w:rPr>
        <w:t>【磋商须知前附表】</w:t>
      </w:r>
      <w:r>
        <w:rPr>
          <w:rFonts w:hint="eastAsia" w:hAnsi="宋体"/>
        </w:rPr>
        <w:t>。正本和副本的封面上应标记“正本”或“副本”的字样，当正本和副本有差异时，以正本为准。</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21.2 响应文件正本和副本应按磋商文件要求签章处盖单位章和由法定代表人或其委托代理人签字；任何加行、涂改、增删，应有法定代表人或其委托代理人在旁边签字。否则，将导致响应文件无效。</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21.3 在磋商过程中，供应商按磋商文件规定和磋商小组要求</w:t>
      </w:r>
      <w:r>
        <w:rPr>
          <w:rFonts w:hint="eastAsia" w:hAnsi="宋体"/>
          <w:kern w:val="0"/>
        </w:rPr>
        <w:t>提交的</w:t>
      </w:r>
      <w:r>
        <w:rPr>
          <w:rFonts w:hint="eastAsia" w:hAnsi="宋体"/>
        </w:rPr>
        <w:t>最后报价(或者重</w:t>
      </w:r>
      <w:r>
        <w:rPr>
          <w:rFonts w:hint="eastAsia" w:hAnsi="宋体"/>
          <w:kern w:val="0"/>
        </w:rPr>
        <w:t>新提交的响应文件和</w:t>
      </w:r>
      <w:r>
        <w:rPr>
          <w:rFonts w:hint="eastAsia" w:hAnsi="宋体"/>
        </w:rPr>
        <w:t>最后报价)，一式两份，可打印或用不退色墨水书写，但需经法定代表人或其委托代理人签字，</w:t>
      </w:r>
      <w:r>
        <w:rPr>
          <w:rFonts w:hint="eastAsia" w:hAnsi="宋体"/>
          <w:kern w:val="0"/>
        </w:rPr>
        <w:t>或者加盖供应商单位章</w:t>
      </w:r>
      <w:r>
        <w:rPr>
          <w:rFonts w:hint="eastAsia" w:hAnsi="宋体"/>
        </w:rPr>
        <w:t>。否则，将导致响应文件无效。</w:t>
      </w:r>
    </w:p>
    <w:p>
      <w:pPr>
        <w:pStyle w:val="9"/>
        <w:pageBreakBefore w:val="0"/>
        <w:kinsoku/>
        <w:wordWrap/>
        <w:overflowPunct/>
        <w:bidi w:val="0"/>
        <w:spacing w:before="240" w:beforeLines="100" w:after="120" w:line="440" w:lineRule="exact"/>
        <w:jc w:val="center"/>
        <w:rPr>
          <w:rFonts w:ascii="黑体" w:hAnsi="宋体" w:eastAsia="黑体"/>
          <w:b w:val="0"/>
          <w:sz w:val="28"/>
          <w:szCs w:val="28"/>
        </w:rPr>
      </w:pPr>
      <w:bookmarkStart w:id="12" w:name="_Toc23889"/>
      <w:r>
        <w:rPr>
          <w:rFonts w:hint="eastAsia" w:ascii="黑体" w:hAnsi="宋体" w:eastAsia="黑体"/>
          <w:b w:val="0"/>
          <w:sz w:val="28"/>
          <w:szCs w:val="28"/>
        </w:rPr>
        <w:t>四、响应文件的递交</w:t>
      </w:r>
      <w:bookmarkEnd w:id="12"/>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22.响应文件的密封和标记</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22.1响应文件应密封包装，加贴封条，并在封套的封口处盖供应商单位章或者由法定代表人或其委托代理人签字。</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22.2响应文件封套上应写明的内容见</w:t>
      </w:r>
      <w:r>
        <w:rPr>
          <w:rFonts w:hint="eastAsia" w:ascii="宋体" w:hAnsi="宋体"/>
          <w:b/>
          <w:bCs/>
          <w:szCs w:val="21"/>
        </w:rPr>
        <w:t>【磋商须知前附表】。</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22.3响应文件如果未按上述规定密封和加写标记，采购人或采购代理机构将拒绝接收。</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23.响应文件的</w:t>
      </w:r>
      <w:r>
        <w:rPr>
          <w:rFonts w:hint="eastAsia" w:ascii="宋体" w:hAnsi="宋体"/>
          <w:b/>
          <w:bCs/>
          <w:kern w:val="0"/>
          <w:szCs w:val="21"/>
        </w:rPr>
        <w:t>补充、修改或者撤回</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23.1</w:t>
      </w:r>
      <w:r>
        <w:rPr>
          <w:rFonts w:hint="eastAsia" w:hAnsi="宋体"/>
          <w:kern w:val="0"/>
        </w:rPr>
        <w:t>供应商在提交首次响应文件截止时间前，可以对所提交的首次响应文件进行补充、修改或者撤回，并书面通知采购人、采购代理机构。</w:t>
      </w:r>
      <w:r>
        <w:rPr>
          <w:rFonts w:hint="eastAsia" w:hAnsi="宋体"/>
        </w:rPr>
        <w:t>该通知应有供应商法定代表人或其委托代理人签字。</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23.2</w:t>
      </w:r>
      <w:r>
        <w:rPr>
          <w:rFonts w:hint="eastAsia" w:hAnsi="宋体"/>
          <w:kern w:val="0"/>
        </w:rPr>
        <w:t>补充、修改的内容与响应文件不一致时，以补充、修改的内容为准。</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24.响应文件的递交与接收</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24.1 供应商应在</w:t>
      </w:r>
      <w:r>
        <w:rPr>
          <w:rFonts w:hint="eastAsia" w:ascii="宋体" w:hAnsi="宋体"/>
          <w:kern w:val="0"/>
          <w:szCs w:val="21"/>
        </w:rPr>
        <w:t>提交首次响应文件截止时间</w:t>
      </w:r>
      <w:r>
        <w:rPr>
          <w:rFonts w:hint="eastAsia" w:ascii="宋体" w:hAnsi="宋体"/>
          <w:szCs w:val="21"/>
        </w:rPr>
        <w:t>前，将响应文件送</w:t>
      </w:r>
      <w:r>
        <w:rPr>
          <w:rFonts w:hint="eastAsia" w:ascii="宋体" w:hAnsi="宋体" w:cs="Arial"/>
          <w:szCs w:val="21"/>
        </w:rPr>
        <w:t>达</w:t>
      </w:r>
      <w:r>
        <w:rPr>
          <w:rFonts w:hint="eastAsia" w:ascii="宋体" w:hAnsi="宋体"/>
          <w:b/>
          <w:bCs/>
          <w:szCs w:val="21"/>
        </w:rPr>
        <w:t>【磋商须知前附表】</w:t>
      </w:r>
      <w:r>
        <w:rPr>
          <w:rFonts w:hint="eastAsia" w:ascii="宋体" w:hAnsi="宋体"/>
          <w:szCs w:val="21"/>
        </w:rPr>
        <w:t>中指定的地点。</w:t>
      </w:r>
      <w:r>
        <w:rPr>
          <w:rFonts w:hint="eastAsia" w:ascii="宋体" w:hAnsi="宋体"/>
          <w:kern w:val="0"/>
          <w:szCs w:val="21"/>
        </w:rPr>
        <w:t>在截止时间后送达的响应文件，采购人、采购代理机构或者磋商小组应当拒收。</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24.2</w:t>
      </w:r>
      <w:r>
        <w:rPr>
          <w:rFonts w:hint="eastAsia" w:hAnsi="宋体"/>
          <w:kern w:val="0"/>
        </w:rPr>
        <w:t>在提交首次响应文件截止时间后，</w:t>
      </w:r>
      <w:r>
        <w:rPr>
          <w:rFonts w:hint="eastAsia" w:hAnsi="宋体"/>
        </w:rPr>
        <w:t>由供应商代表当场查验响应文件的密封状况，采购人或采购代理机构不当场拆封响应文件。</w:t>
      </w:r>
    </w:p>
    <w:p>
      <w:pPr>
        <w:pStyle w:val="9"/>
        <w:pageBreakBefore w:val="0"/>
        <w:kinsoku/>
        <w:wordWrap/>
        <w:overflowPunct/>
        <w:bidi w:val="0"/>
        <w:spacing w:before="240" w:beforeLines="100" w:after="120" w:line="440" w:lineRule="exact"/>
        <w:jc w:val="center"/>
        <w:rPr>
          <w:rFonts w:ascii="黑体" w:hAnsi="宋体" w:eastAsia="黑体"/>
          <w:b w:val="0"/>
          <w:sz w:val="28"/>
          <w:szCs w:val="28"/>
        </w:rPr>
      </w:pPr>
      <w:bookmarkStart w:id="13" w:name="_Toc15537"/>
      <w:r>
        <w:rPr>
          <w:rFonts w:hint="eastAsia" w:ascii="黑体" w:hAnsi="宋体" w:eastAsia="黑体"/>
          <w:b w:val="0"/>
          <w:sz w:val="28"/>
          <w:szCs w:val="28"/>
        </w:rPr>
        <w:t>五、响应文件的磋商与评审</w:t>
      </w:r>
      <w:bookmarkEnd w:id="13"/>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25.磋商程序</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szCs w:val="21"/>
        </w:rPr>
      </w:pPr>
      <w:r>
        <w:rPr>
          <w:rFonts w:hint="eastAsia" w:ascii="宋体" w:hAnsi="宋体"/>
          <w:kern w:val="0"/>
          <w:szCs w:val="21"/>
        </w:rPr>
        <w:t>25.1磋商程序：响应文件审查、磋商（包括澄清）、响应文件评审、</w:t>
      </w:r>
      <w:r>
        <w:rPr>
          <w:rFonts w:hint="eastAsia" w:ascii="宋体" w:hAnsi="宋体"/>
          <w:szCs w:val="21"/>
        </w:rPr>
        <w:t>提出成交供应商。其中，</w:t>
      </w:r>
      <w:r>
        <w:rPr>
          <w:rFonts w:hint="eastAsia" w:ascii="宋体" w:hAnsi="宋体"/>
          <w:kern w:val="0"/>
          <w:szCs w:val="21"/>
        </w:rPr>
        <w:t>磋商按</w:t>
      </w:r>
      <w:r>
        <w:rPr>
          <w:rFonts w:hint="eastAsia" w:ascii="宋体" w:hAnsi="宋体"/>
          <w:szCs w:val="21"/>
        </w:rPr>
        <w:t>本章第30.1</w:t>
      </w:r>
      <w:r>
        <w:rPr>
          <w:rFonts w:hint="eastAsia" w:ascii="宋体" w:hAnsi="宋体"/>
          <w:kern w:val="0"/>
          <w:szCs w:val="21"/>
        </w:rPr>
        <w:t>款或者</w:t>
      </w:r>
      <w:r>
        <w:rPr>
          <w:rFonts w:hint="eastAsia" w:ascii="宋体" w:hAnsi="宋体"/>
          <w:szCs w:val="21"/>
        </w:rPr>
        <w:t>第30.2</w:t>
      </w:r>
      <w:r>
        <w:rPr>
          <w:rFonts w:hint="eastAsia" w:ascii="宋体" w:hAnsi="宋体"/>
          <w:kern w:val="0"/>
          <w:szCs w:val="21"/>
        </w:rPr>
        <w:t>款</w:t>
      </w:r>
      <w:r>
        <w:rPr>
          <w:rFonts w:hint="eastAsia" w:ascii="宋体" w:hAnsi="宋体"/>
          <w:szCs w:val="21"/>
        </w:rPr>
        <w:t>情形进行。</w:t>
      </w:r>
    </w:p>
    <w:p>
      <w:pPr>
        <w:pageBreakBefore w:val="0"/>
        <w:widowControl/>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kern w:val="0"/>
          <w:szCs w:val="21"/>
        </w:rPr>
        <w:t>26.响应文件审查</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26.1 资格性审查：根据本章第3.1项规定的供应商资格条件要求，对响应文件的资格证明等进行审查，以确定供应商是否具备磋商资格条件。</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26.2符合性审查: 对响应文件(包括首次提交的响应文件、重新提交的响应文件)的有效性、完整性和响应程度进行审查，以确定是否对磋商文件的实质性要求作出响应。</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26.3响应文件审查结束后，磋商小组所有成员集中与单一供应商分别进行磋商，并给予所有参加磋商的供应商平等的磋商机会。供应商应派其法定代表人或委托代理人参加磋商。</w:t>
      </w:r>
    </w:p>
    <w:p>
      <w:pPr>
        <w:pStyle w:val="18"/>
        <w:pageBreakBefore w:val="0"/>
        <w:kinsoku/>
        <w:wordWrap/>
        <w:overflowPunct/>
        <w:bidi w:val="0"/>
        <w:adjustRightInd w:val="0"/>
        <w:snapToGrid w:val="0"/>
        <w:spacing w:before="120" w:beforeLines="50" w:after="120" w:afterLines="50" w:line="440" w:lineRule="exact"/>
        <w:rPr>
          <w:rFonts w:hAnsi="宋体"/>
          <w:b/>
          <w:bCs/>
          <w:kern w:val="0"/>
        </w:rPr>
      </w:pPr>
      <w:r>
        <w:rPr>
          <w:rFonts w:hint="eastAsia" w:hAnsi="宋体"/>
          <w:b/>
          <w:bCs/>
          <w:kern w:val="0"/>
        </w:rPr>
        <w:t>27.实质性响应</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cs="Arial"/>
          <w:kern w:val="0"/>
          <w:u w:val="single"/>
        </w:rPr>
      </w:pPr>
      <w:r>
        <w:rPr>
          <w:rFonts w:hint="eastAsia" w:hAnsi="宋体"/>
          <w:kern w:val="0"/>
        </w:rPr>
        <w:t>27.1</w:t>
      </w:r>
      <w:r>
        <w:rPr>
          <w:rFonts w:hint="eastAsia" w:hAnsi="宋体"/>
        </w:rPr>
        <w:t>实质性响应是指响应文件(包括首次响应文件、重新提交的响应文件)与磋商文件要求的所有条款、条件和规格相符，没有偏离。偏离指不满足、或不响应磋商文件的要求。</w:t>
      </w:r>
    </w:p>
    <w:p>
      <w:pPr>
        <w:pageBreakBefore w:val="0"/>
        <w:kinsoku/>
        <w:wordWrap/>
        <w:overflowPunct/>
        <w:bidi w:val="0"/>
        <w:adjustRightInd w:val="0"/>
        <w:snapToGrid w:val="0"/>
        <w:spacing w:before="120" w:beforeLines="50" w:after="120" w:afterLines="50" w:line="440" w:lineRule="exact"/>
        <w:ind w:right="23" w:rightChars="11" w:firstLine="420" w:firstLineChars="200"/>
        <w:rPr>
          <w:rFonts w:ascii="宋体" w:hAnsi="宋体"/>
          <w:szCs w:val="21"/>
        </w:rPr>
      </w:pPr>
      <w:r>
        <w:rPr>
          <w:rFonts w:hint="eastAsia" w:ascii="宋体" w:hAnsi="宋体"/>
          <w:szCs w:val="21"/>
        </w:rPr>
        <w:t>27.2响应文件是否实质性响应磋商文件要求由磋商小组依据磋商文件规定认定。</w:t>
      </w:r>
      <w:r>
        <w:rPr>
          <w:rFonts w:hint="eastAsia" w:ascii="宋体" w:hAnsi="宋体"/>
          <w:kern w:val="0"/>
          <w:szCs w:val="21"/>
        </w:rPr>
        <w:t>磋商小组</w:t>
      </w:r>
      <w:r>
        <w:rPr>
          <w:rFonts w:hint="eastAsia" w:ascii="宋体" w:hAnsi="宋体"/>
          <w:szCs w:val="21"/>
        </w:rPr>
        <w:t>决定响应文件的响应性只根据响应文件本身的真实无误的内容，而不依据外部的证据。</w:t>
      </w:r>
    </w:p>
    <w:p>
      <w:pPr>
        <w:pStyle w:val="18"/>
        <w:pageBreakBefore w:val="0"/>
        <w:kinsoku/>
        <w:wordWrap/>
        <w:overflowPunct/>
        <w:bidi w:val="0"/>
        <w:adjustRightInd w:val="0"/>
        <w:snapToGrid w:val="0"/>
        <w:spacing w:before="120" w:beforeLines="50" w:after="120" w:afterLines="50" w:line="440" w:lineRule="exact"/>
        <w:rPr>
          <w:rFonts w:hAnsi="宋体"/>
          <w:b/>
          <w:bCs/>
          <w:kern w:val="0"/>
        </w:rPr>
      </w:pPr>
      <w:r>
        <w:rPr>
          <w:rFonts w:hint="eastAsia" w:hAnsi="宋体"/>
          <w:b/>
          <w:bCs/>
          <w:kern w:val="0"/>
        </w:rPr>
        <w:t xml:space="preserve">28.无效响应 </w:t>
      </w:r>
    </w:p>
    <w:p>
      <w:pPr>
        <w:pStyle w:val="18"/>
        <w:pageBreakBefore w:val="0"/>
        <w:kinsoku/>
        <w:wordWrap/>
        <w:overflowPunct/>
        <w:bidi w:val="0"/>
        <w:adjustRightInd w:val="0"/>
        <w:snapToGrid w:val="0"/>
        <w:spacing w:before="120" w:beforeLines="50" w:after="120" w:afterLines="50" w:line="440" w:lineRule="exact"/>
        <w:ind w:firstLine="411" w:firstLineChars="196"/>
        <w:rPr>
          <w:rFonts w:hAnsi="宋体"/>
          <w:b/>
          <w:bCs/>
          <w:kern w:val="0"/>
        </w:rPr>
      </w:pPr>
      <w:r>
        <w:rPr>
          <w:rFonts w:hint="eastAsia" w:hAnsi="宋体"/>
          <w:kern w:val="0"/>
        </w:rPr>
        <w:t>28.1</w:t>
      </w:r>
      <w:r>
        <w:rPr>
          <w:rFonts w:hint="eastAsia" w:hAnsi="宋体"/>
        </w:rPr>
        <w:t>磋商小组在对资格性和符合性进行审查时，有下列情况之一的，属无效响应，</w:t>
      </w:r>
      <w:r>
        <w:rPr>
          <w:rFonts w:hint="eastAsia" w:hAnsi="宋体"/>
          <w:kern w:val="0"/>
        </w:rPr>
        <w:t>磋商小组应当告知有关供应商</w:t>
      </w:r>
      <w:r>
        <w:rPr>
          <w:rFonts w:hint="eastAsia" w:hAnsi="宋体"/>
        </w:rPr>
        <w:t>：</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（1）供应商不具备本章第3.1款规定的供应商资格条件要求，或存在本章第3.3款情形的；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（2）联合体不符合本章第3.2款规定的；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（3）应交未交磋商保证金或金额不足、磋商保证金缴纳形式不符合磋商文件要求的；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（4）响应文件未按照磋商文件要求签署、盖章的；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（4）响应文件不满足本章第27.1款规定的实质性要求的；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（5）报价超过采购项目预算的；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（6）响应文件有效期不足的；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（7）响应文件不符合法律、规章、规范性文件和磋商文件规定及要求的。</w:t>
      </w:r>
    </w:p>
    <w:p>
      <w:pPr>
        <w:pageBreakBefore w:val="0"/>
        <w:widowControl/>
        <w:kinsoku/>
        <w:wordWrap/>
        <w:overflowPunct/>
        <w:bidi w:val="0"/>
        <w:adjustRightInd w:val="0"/>
        <w:snapToGrid w:val="0"/>
        <w:spacing w:before="120" w:beforeLines="50" w:after="120" w:afterLines="50" w:line="440" w:lineRule="exact"/>
        <w:jc w:val="left"/>
        <w:rPr>
          <w:rFonts w:ascii="宋体" w:hAnsi="宋体"/>
          <w:b/>
          <w:bCs/>
          <w:kern w:val="0"/>
          <w:szCs w:val="21"/>
        </w:rPr>
      </w:pPr>
      <w:r>
        <w:rPr>
          <w:rFonts w:hint="eastAsia" w:ascii="宋体" w:hAnsi="宋体"/>
          <w:b/>
          <w:bCs/>
          <w:kern w:val="0"/>
          <w:szCs w:val="21"/>
        </w:rPr>
        <w:t>29.澄清</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29.2 最后报价计算错误修正的原则：最后报价</w:t>
      </w:r>
      <w:r>
        <w:rPr>
          <w:rFonts w:hint="eastAsia" w:ascii="宋体" w:hAnsi="宋体" w:cs="Arial"/>
          <w:kern w:val="0"/>
          <w:szCs w:val="21"/>
        </w:rPr>
        <w:t>的大写金额和小写金额不一致的，以大写金额为准；总价金额与按分项报价汇总金额不一致的，以分项报价金额计算结果为准；分项报价金额小数点有明显错位的，应以总价为准，并修改分项报价。</w:t>
      </w:r>
    </w:p>
    <w:p>
      <w:pPr>
        <w:pageBreakBefore w:val="0"/>
        <w:widowControl/>
        <w:kinsoku/>
        <w:wordWrap/>
        <w:overflowPunct/>
        <w:bidi w:val="0"/>
        <w:adjustRightInd w:val="0"/>
        <w:snapToGrid w:val="0"/>
        <w:spacing w:before="120" w:beforeLines="50" w:after="120" w:afterLines="50" w:line="440" w:lineRule="exact"/>
        <w:jc w:val="left"/>
        <w:rPr>
          <w:rFonts w:ascii="宋体" w:hAnsi="宋体"/>
          <w:b/>
          <w:bCs/>
          <w:kern w:val="0"/>
          <w:szCs w:val="21"/>
        </w:rPr>
      </w:pPr>
      <w:r>
        <w:rPr>
          <w:rFonts w:hint="eastAsia" w:ascii="宋体" w:hAnsi="宋体"/>
          <w:b/>
          <w:bCs/>
          <w:kern w:val="0"/>
          <w:szCs w:val="21"/>
        </w:rPr>
        <w:t>30.磋商</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30.1</w:t>
      </w:r>
      <w:r>
        <w:rPr>
          <w:rFonts w:hint="eastAsia" w:ascii="宋体" w:hAnsi="宋体"/>
          <w:szCs w:val="21"/>
        </w:rPr>
        <w:t>本章第10.2项</w:t>
      </w:r>
      <w:r>
        <w:rPr>
          <w:rFonts w:hint="eastAsia" w:ascii="宋体" w:hAnsi="宋体"/>
          <w:kern w:val="0"/>
          <w:szCs w:val="21"/>
        </w:rPr>
        <w:t>未明确磋商文件实质性变动内容的，或者磋商文件明确了可能发生实质性变动内容，但在磋商过程中，</w:t>
      </w:r>
      <w:r>
        <w:rPr>
          <w:rFonts w:hint="eastAsia" w:ascii="宋体" w:hAnsi="宋体"/>
          <w:szCs w:val="21"/>
        </w:rPr>
        <w:t>磋商小组</w:t>
      </w:r>
      <w:r>
        <w:rPr>
          <w:rFonts w:hint="eastAsia" w:ascii="宋体" w:hAnsi="宋体" w:cs="Arial"/>
          <w:kern w:val="0"/>
          <w:szCs w:val="21"/>
        </w:rPr>
        <w:t>根据</w:t>
      </w:r>
      <w:r>
        <w:rPr>
          <w:rFonts w:hint="eastAsia" w:ascii="宋体" w:hAnsi="宋体"/>
          <w:kern w:val="0"/>
          <w:szCs w:val="21"/>
        </w:rPr>
        <w:t>磋商情况</w:t>
      </w:r>
      <w:r>
        <w:rPr>
          <w:rFonts w:hint="eastAsia" w:ascii="宋体" w:hAnsi="宋体"/>
          <w:szCs w:val="21"/>
        </w:rPr>
        <w:t>认为</w:t>
      </w:r>
      <w:r>
        <w:rPr>
          <w:rFonts w:hint="eastAsia" w:ascii="宋体" w:hAnsi="宋体"/>
          <w:kern w:val="0"/>
          <w:szCs w:val="21"/>
        </w:rPr>
        <w:t>磋商文件无需发生实质性变动的，磋商小组应当直接与响应文件审查合格的供应商就价格组织多轮磋商。</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（1）磋商结束后，磋商小组应当要求所有继续参加磋商的供应商在磋商小组规定时间内提交最后报价。</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（2）磋商文件明确可能发生实质性变动，但在磋商过程中</w:t>
      </w:r>
      <w:r>
        <w:rPr>
          <w:rFonts w:hint="eastAsia" w:ascii="宋体" w:hAnsi="宋体"/>
          <w:szCs w:val="21"/>
        </w:rPr>
        <w:t>磋商小组</w:t>
      </w:r>
      <w:r>
        <w:rPr>
          <w:rFonts w:hint="eastAsia" w:ascii="宋体" w:hAnsi="宋体" w:cs="Arial"/>
          <w:kern w:val="0"/>
          <w:szCs w:val="21"/>
        </w:rPr>
        <w:t>根据</w:t>
      </w:r>
      <w:r>
        <w:rPr>
          <w:rFonts w:hint="eastAsia" w:ascii="宋体" w:hAnsi="宋体"/>
          <w:kern w:val="0"/>
          <w:szCs w:val="21"/>
        </w:rPr>
        <w:t>磋商情况</w:t>
      </w:r>
      <w:r>
        <w:rPr>
          <w:rFonts w:hint="eastAsia" w:ascii="宋体" w:hAnsi="宋体"/>
          <w:szCs w:val="21"/>
        </w:rPr>
        <w:t>认为</w:t>
      </w:r>
      <w:r>
        <w:rPr>
          <w:rFonts w:hint="eastAsia" w:ascii="宋体" w:hAnsi="宋体"/>
          <w:kern w:val="0"/>
          <w:szCs w:val="21"/>
        </w:rPr>
        <w:t>磋商文件无需发生实质性变动的，磋商小组不另行通知。</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30.2</w:t>
      </w:r>
      <w:r>
        <w:rPr>
          <w:rFonts w:hint="eastAsia" w:ascii="宋体" w:hAnsi="宋体"/>
          <w:szCs w:val="21"/>
        </w:rPr>
        <w:t>本章第10.2</w:t>
      </w:r>
      <w:r>
        <w:rPr>
          <w:rFonts w:hint="eastAsia" w:ascii="宋体" w:hAnsi="宋体"/>
          <w:kern w:val="0"/>
          <w:szCs w:val="21"/>
        </w:rPr>
        <w:t>款明确磋商文件实质性变动内容的，</w:t>
      </w:r>
      <w:r>
        <w:rPr>
          <w:rFonts w:hint="eastAsia" w:ascii="宋体" w:hAnsi="宋体"/>
          <w:szCs w:val="21"/>
        </w:rPr>
        <w:t>磋商小组</w:t>
      </w:r>
      <w:r>
        <w:rPr>
          <w:rFonts w:hint="eastAsia" w:ascii="宋体" w:hAnsi="宋体"/>
          <w:kern w:val="0"/>
          <w:szCs w:val="21"/>
        </w:rPr>
        <w:t>可以组织多轮磋商。</w:t>
      </w:r>
      <w:r>
        <w:rPr>
          <w:rFonts w:hint="eastAsia" w:ascii="宋体" w:hAnsi="宋体"/>
          <w:szCs w:val="21"/>
        </w:rPr>
        <w:t>在每一轮磋商中，磋商小组</w:t>
      </w:r>
      <w:r>
        <w:rPr>
          <w:rFonts w:hint="eastAsia" w:ascii="宋体" w:hAnsi="宋体"/>
          <w:kern w:val="0"/>
          <w:szCs w:val="21"/>
        </w:rPr>
        <w:t>可以</w:t>
      </w:r>
      <w:r>
        <w:rPr>
          <w:rFonts w:hint="eastAsia" w:ascii="宋体" w:hAnsi="宋体" w:cs="Arial"/>
          <w:kern w:val="0"/>
          <w:szCs w:val="21"/>
        </w:rPr>
        <w:t>根据</w:t>
      </w:r>
      <w:r>
        <w:rPr>
          <w:rFonts w:hint="eastAsia" w:ascii="宋体" w:hAnsi="宋体"/>
          <w:kern w:val="0"/>
          <w:szCs w:val="21"/>
        </w:rPr>
        <w:t>磋商文件规定和磋商情况，</w:t>
      </w:r>
      <w:r>
        <w:rPr>
          <w:rFonts w:hint="eastAsia" w:ascii="宋体" w:hAnsi="宋体"/>
          <w:szCs w:val="21"/>
        </w:rPr>
        <w:t>对磋商文件的</w:t>
      </w:r>
      <w:r>
        <w:rPr>
          <w:rFonts w:hint="eastAsia" w:ascii="宋体" w:hAnsi="宋体"/>
          <w:kern w:val="0"/>
          <w:szCs w:val="21"/>
        </w:rPr>
        <w:t>采购需求中的技术、服务要求以及合同草案条款</w:t>
      </w:r>
      <w:r>
        <w:rPr>
          <w:rFonts w:hint="eastAsia" w:ascii="宋体" w:hAnsi="宋体"/>
          <w:szCs w:val="21"/>
        </w:rPr>
        <w:t>作实质性变动(磋商文件的实质性变动内容为磋商文件的组成部分)，并以书面形式要求</w:t>
      </w:r>
      <w:r>
        <w:rPr>
          <w:rFonts w:hint="eastAsia" w:ascii="宋体" w:hAnsi="宋体"/>
          <w:kern w:val="0"/>
          <w:szCs w:val="21"/>
        </w:rPr>
        <w:t>响应文件审查合格</w:t>
      </w:r>
      <w:r>
        <w:rPr>
          <w:rFonts w:hint="eastAsia" w:ascii="宋体" w:hAnsi="宋体"/>
          <w:szCs w:val="21"/>
        </w:rPr>
        <w:t>的供应商，在规定的</w:t>
      </w:r>
      <w:r>
        <w:rPr>
          <w:rFonts w:hint="eastAsia" w:ascii="宋体" w:hAnsi="宋体"/>
          <w:kern w:val="0"/>
          <w:szCs w:val="21"/>
        </w:rPr>
        <w:t>截止时间前</w:t>
      </w:r>
      <w:r>
        <w:rPr>
          <w:rFonts w:hint="eastAsia" w:ascii="宋体" w:hAnsi="宋体"/>
          <w:szCs w:val="21"/>
        </w:rPr>
        <w:t>重</w:t>
      </w:r>
      <w:r>
        <w:rPr>
          <w:rFonts w:hint="eastAsia" w:ascii="宋体" w:hAnsi="宋体"/>
          <w:kern w:val="0"/>
          <w:szCs w:val="21"/>
        </w:rPr>
        <w:t>新提交响应文件</w:t>
      </w:r>
      <w:r>
        <w:rPr>
          <w:rFonts w:hint="eastAsia" w:ascii="宋体" w:hAnsi="宋体"/>
          <w:szCs w:val="21"/>
        </w:rPr>
        <w:t>。</w:t>
      </w:r>
      <w:r>
        <w:rPr>
          <w:rFonts w:hint="eastAsia" w:ascii="宋体" w:hAnsi="宋体"/>
          <w:kern w:val="0"/>
          <w:szCs w:val="21"/>
        </w:rPr>
        <w:t>磋商小组应当</w:t>
      </w:r>
      <w:r>
        <w:rPr>
          <w:rFonts w:hint="eastAsia" w:ascii="宋体" w:hAnsi="宋体"/>
          <w:szCs w:val="21"/>
        </w:rPr>
        <w:t>根据本章第24.2</w:t>
      </w:r>
      <w:r>
        <w:rPr>
          <w:rFonts w:hint="eastAsia" w:ascii="宋体" w:hAnsi="宋体"/>
          <w:kern w:val="0"/>
          <w:szCs w:val="21"/>
        </w:rPr>
        <w:t>款</w:t>
      </w:r>
      <w:r>
        <w:rPr>
          <w:rFonts w:hint="eastAsia" w:ascii="宋体" w:hAnsi="宋体"/>
          <w:szCs w:val="21"/>
        </w:rPr>
        <w:t>规定</w:t>
      </w:r>
      <w:r>
        <w:rPr>
          <w:rFonts w:hint="eastAsia" w:ascii="宋体" w:hAnsi="宋体"/>
          <w:kern w:val="0"/>
          <w:szCs w:val="21"/>
        </w:rPr>
        <w:t>对供应商重新提交的响应文件进行审查。供应商重新提交的响应文件审查不合格的，不得进入下一轮磋商，也不得要求提交最后报价。</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kern w:val="0"/>
          <w:szCs w:val="21"/>
        </w:rPr>
      </w:pPr>
      <w:r>
        <w:rPr>
          <w:rFonts w:hint="eastAsia" w:ascii="宋体" w:hAnsi="宋体"/>
          <w:kern w:val="0"/>
          <w:szCs w:val="21"/>
        </w:rPr>
        <w:t>（1）磋商文件能够详细列明采购需求的技术、服务要求的，磋商结束后，磋商小组应当要求所有继续参加磋商的供应商在规定时间内提交最后报价。</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szCs w:val="21"/>
        </w:rPr>
      </w:pPr>
      <w:r>
        <w:rPr>
          <w:rFonts w:hint="eastAsia" w:ascii="宋体" w:hAnsi="宋体"/>
          <w:szCs w:val="21"/>
        </w:rPr>
        <w:t>30.3 重</w:t>
      </w:r>
      <w:r>
        <w:rPr>
          <w:rFonts w:hint="eastAsia" w:ascii="宋体" w:hAnsi="宋体"/>
          <w:kern w:val="0"/>
          <w:szCs w:val="21"/>
        </w:rPr>
        <w:t>新提交的响应文件</w:t>
      </w:r>
      <w:r>
        <w:rPr>
          <w:rFonts w:hint="eastAsia" w:ascii="宋体" w:hAnsi="宋体"/>
          <w:szCs w:val="21"/>
        </w:rPr>
        <w:t>或者最后报价应按</w:t>
      </w:r>
      <w:r>
        <w:rPr>
          <w:rFonts w:hint="eastAsia" w:ascii="宋体" w:hAnsi="宋体"/>
          <w:kern w:val="0"/>
          <w:szCs w:val="21"/>
        </w:rPr>
        <w:t>本章第</w:t>
      </w:r>
      <w:r>
        <w:rPr>
          <w:rFonts w:hint="eastAsia" w:ascii="宋体" w:hAnsi="宋体"/>
          <w:szCs w:val="21"/>
        </w:rPr>
        <w:t>21.3</w:t>
      </w:r>
      <w:r>
        <w:rPr>
          <w:rFonts w:hint="eastAsia" w:ascii="宋体" w:hAnsi="宋体"/>
          <w:kern w:val="0"/>
          <w:szCs w:val="21"/>
        </w:rPr>
        <w:t>款</w:t>
      </w:r>
      <w:r>
        <w:rPr>
          <w:rFonts w:hint="eastAsia" w:ascii="宋体" w:hAnsi="宋体"/>
          <w:szCs w:val="21"/>
        </w:rPr>
        <w:t>规定，</w:t>
      </w:r>
      <w:r>
        <w:rPr>
          <w:rFonts w:hint="eastAsia" w:ascii="宋体" w:hAnsi="宋体"/>
          <w:kern w:val="0"/>
          <w:szCs w:val="21"/>
        </w:rPr>
        <w:t>由其法定代表人或其委托代理人签字或者加盖供应商单位章，在规定时间内密封递交给磋商小组</w:t>
      </w:r>
      <w:r>
        <w:rPr>
          <w:rFonts w:hint="eastAsia" w:ascii="宋体" w:hAnsi="宋体"/>
          <w:szCs w:val="21"/>
        </w:rPr>
        <w:t>。</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30.4供应商的</w:t>
      </w:r>
      <w:r>
        <w:rPr>
          <w:rFonts w:hint="eastAsia" w:ascii="宋体" w:hAnsi="宋体"/>
          <w:szCs w:val="21"/>
        </w:rPr>
        <w:t>最</w:t>
      </w:r>
      <w:r>
        <w:rPr>
          <w:rFonts w:hint="eastAsia" w:ascii="宋体" w:hAnsi="宋体"/>
          <w:kern w:val="0"/>
          <w:szCs w:val="21"/>
        </w:rPr>
        <w:t>后</w:t>
      </w:r>
      <w:r>
        <w:rPr>
          <w:rFonts w:hint="eastAsia" w:ascii="宋体" w:hAnsi="宋体"/>
          <w:szCs w:val="21"/>
        </w:rPr>
        <w:t>报价及</w:t>
      </w:r>
      <w:r>
        <w:rPr>
          <w:rFonts w:hint="eastAsia" w:ascii="宋体" w:hAnsi="宋体"/>
          <w:kern w:val="0"/>
          <w:szCs w:val="21"/>
        </w:rPr>
        <w:t>政府采购政策规定的价格扣除情况，磋商小组应召集所有参加最后报价的供应商当场开封</w:t>
      </w:r>
      <w:r>
        <w:rPr>
          <w:rFonts w:hint="eastAsia" w:ascii="宋体" w:hAnsi="宋体"/>
          <w:szCs w:val="21"/>
        </w:rPr>
        <w:t>公布，并由供应商代表签字确认。</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30.5提交首次响应文件的供应商，在提交最后报价之前，可以根据磋商情况退出磋商，并书面通知采购代理机构或者磋商小组。</w:t>
      </w:r>
      <w:r>
        <w:rPr>
          <w:rFonts w:hint="eastAsia" w:ascii="宋体" w:hAnsi="宋体"/>
          <w:szCs w:val="21"/>
        </w:rPr>
        <w:t>该通知由供应商法定代表人或其委托代理人签字。</w:t>
      </w:r>
      <w:r>
        <w:rPr>
          <w:rFonts w:hint="eastAsia" w:ascii="宋体" w:hAnsi="宋体"/>
          <w:kern w:val="0"/>
          <w:szCs w:val="21"/>
        </w:rPr>
        <w:t>采购代理机构按本章第</w:t>
      </w:r>
      <w:r>
        <w:rPr>
          <w:rFonts w:hint="eastAsia" w:ascii="宋体" w:hAnsi="宋体"/>
          <w:szCs w:val="21"/>
        </w:rPr>
        <w:t>19.4</w:t>
      </w:r>
      <w:r>
        <w:rPr>
          <w:rFonts w:hint="eastAsia" w:ascii="宋体" w:hAnsi="宋体"/>
          <w:kern w:val="0"/>
          <w:szCs w:val="21"/>
        </w:rPr>
        <w:t>款</w:t>
      </w:r>
      <w:r>
        <w:rPr>
          <w:rFonts w:hint="eastAsia" w:ascii="宋体" w:hAnsi="宋体"/>
          <w:szCs w:val="21"/>
        </w:rPr>
        <w:t>规定</w:t>
      </w:r>
      <w:r>
        <w:rPr>
          <w:rFonts w:hint="eastAsia" w:ascii="宋体" w:hAnsi="宋体"/>
          <w:kern w:val="0"/>
          <w:szCs w:val="21"/>
        </w:rPr>
        <w:t>退还退出磋商的供应商的磋商保证金。</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kern w:val="0"/>
          <w:szCs w:val="21"/>
        </w:rPr>
      </w:pPr>
      <w:r>
        <w:rPr>
          <w:rFonts w:hint="eastAsia" w:ascii="宋体" w:hAnsi="宋体"/>
          <w:szCs w:val="21"/>
        </w:rPr>
        <w:t>30.6</w:t>
      </w:r>
      <w:r>
        <w:rPr>
          <w:rFonts w:hint="eastAsia" w:ascii="宋体" w:hAnsi="宋体"/>
          <w:kern w:val="0"/>
          <w:szCs w:val="21"/>
        </w:rPr>
        <w:t>提交首次响应文件的供应商，未按磋商文件规定及磋商小组要求提交最后报价(或者</w:t>
      </w:r>
      <w:r>
        <w:rPr>
          <w:rFonts w:hint="eastAsia" w:ascii="宋体" w:hAnsi="宋体"/>
          <w:szCs w:val="21"/>
        </w:rPr>
        <w:t>重</w:t>
      </w:r>
      <w:r>
        <w:rPr>
          <w:rFonts w:hint="eastAsia" w:ascii="宋体" w:hAnsi="宋体"/>
          <w:kern w:val="0"/>
          <w:szCs w:val="21"/>
        </w:rPr>
        <w:t>新提交的响应文件和最后报价)，且又未按本章第</w:t>
      </w:r>
      <w:r>
        <w:rPr>
          <w:rFonts w:hint="eastAsia" w:ascii="宋体" w:hAnsi="宋体"/>
          <w:szCs w:val="21"/>
        </w:rPr>
        <w:t>30.5</w:t>
      </w:r>
      <w:r>
        <w:rPr>
          <w:rFonts w:hint="eastAsia" w:ascii="宋体" w:hAnsi="宋体"/>
          <w:kern w:val="0"/>
          <w:szCs w:val="21"/>
        </w:rPr>
        <w:t>款</w:t>
      </w:r>
      <w:r>
        <w:rPr>
          <w:rFonts w:hint="eastAsia" w:ascii="宋体" w:hAnsi="宋体"/>
          <w:szCs w:val="21"/>
        </w:rPr>
        <w:t>规定</w:t>
      </w:r>
      <w:r>
        <w:rPr>
          <w:rFonts w:hint="eastAsia" w:ascii="宋体" w:hAnsi="宋体"/>
          <w:kern w:val="0"/>
          <w:szCs w:val="21"/>
        </w:rPr>
        <w:t>退出磋商的，供应商的磋商保证金不予退还。</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kern w:val="0"/>
          <w:szCs w:val="21"/>
        </w:rPr>
      </w:pPr>
      <w:r>
        <w:rPr>
          <w:rFonts w:hint="eastAsia" w:ascii="宋体" w:hAnsi="宋体"/>
          <w:kern w:val="0"/>
          <w:szCs w:val="21"/>
        </w:rPr>
        <w:t>30.7磋商文件在磋商过程中未发生实质性变动的，参加磋商供应商的次轮报价不得高于上轮报价，否则视为无效响应。</w:t>
      </w:r>
    </w:p>
    <w:p>
      <w:pPr>
        <w:pageBreakBefore w:val="0"/>
        <w:widowControl/>
        <w:kinsoku/>
        <w:wordWrap/>
        <w:overflowPunct/>
        <w:bidi w:val="0"/>
        <w:adjustRightInd w:val="0"/>
        <w:snapToGrid w:val="0"/>
        <w:spacing w:before="120" w:beforeLines="50" w:after="120" w:afterLines="50" w:line="440" w:lineRule="exact"/>
        <w:jc w:val="left"/>
        <w:rPr>
          <w:rFonts w:ascii="宋体" w:hAnsi="宋体"/>
          <w:b/>
          <w:bCs/>
          <w:szCs w:val="21"/>
        </w:rPr>
      </w:pPr>
      <w:r>
        <w:rPr>
          <w:rFonts w:hint="eastAsia" w:ascii="宋体" w:hAnsi="宋体"/>
          <w:b/>
          <w:bCs/>
          <w:kern w:val="0"/>
          <w:szCs w:val="21"/>
        </w:rPr>
        <w:t>31.响应文件评审</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31.1经磋商确定最终采购需求和提交最后报价的供应商后，由磋商小组采用综合评分法对提交最后报价的供应商的响应文件和最后报价进行综合评价。</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宋体" w:hAnsi="宋体"/>
          <w:b/>
          <w:bCs/>
          <w:szCs w:val="21"/>
        </w:rPr>
        <w:t>【磋商须知前附表】。</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kern w:val="0"/>
          <w:szCs w:val="21"/>
        </w:rPr>
        <w:t>31.3</w:t>
      </w:r>
      <w:r>
        <w:rPr>
          <w:rFonts w:hint="eastAsia" w:ascii="宋体" w:hAnsi="宋体"/>
          <w:szCs w:val="21"/>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hAnsi="宋体"/>
          <w:b/>
          <w:bCs/>
          <w:szCs w:val="21"/>
        </w:rPr>
        <w:t>【磋商须知前附表】</w:t>
      </w:r>
      <w:r>
        <w:rPr>
          <w:rFonts w:hint="eastAsia" w:ascii="宋体" w:hAnsi="宋体"/>
          <w:szCs w:val="21"/>
        </w:rPr>
        <w:t>。</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31.4综合评分法中的价格分采用低价优先法计算，即满足磋商文件要求且经调整后的最后报价最低的供应商的价格为磋商基准价，其价格分为满分。其他供应商的价格分按照下列公式计算：</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磋商报价得分=（磋商基准价/最后磋商报价）×价格权值×100</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项目评审过程中，不得去掉最后报价中的最高报价和最低报价。</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bCs/>
          <w:szCs w:val="21"/>
        </w:rPr>
        <w:t>31.5</w:t>
      </w:r>
      <w:r>
        <w:rPr>
          <w:rFonts w:hint="eastAsia" w:ascii="宋体" w:hAnsi="宋体"/>
          <w:kern w:val="0"/>
          <w:szCs w:val="21"/>
        </w:rPr>
        <w:t>涉及政府采购政策优惠对供应商分值进行调整的</w:t>
      </w:r>
      <w:r>
        <w:rPr>
          <w:rFonts w:hint="eastAsia" w:ascii="宋体" w:hAnsi="宋体"/>
          <w:szCs w:val="21"/>
        </w:rPr>
        <w:t>，</w:t>
      </w:r>
      <w:r>
        <w:rPr>
          <w:rFonts w:hint="eastAsia" w:ascii="宋体" w:hAnsi="宋体"/>
          <w:bCs/>
          <w:szCs w:val="21"/>
        </w:rPr>
        <w:t>按</w:t>
      </w:r>
      <w:r>
        <w:rPr>
          <w:rFonts w:hint="eastAsia" w:ascii="宋体" w:hAnsi="宋体"/>
          <w:b/>
          <w:bCs/>
          <w:szCs w:val="21"/>
        </w:rPr>
        <w:t>【磋商须知前附表】</w:t>
      </w:r>
      <w:r>
        <w:rPr>
          <w:rFonts w:hint="eastAsia" w:ascii="宋体" w:hAnsi="宋体"/>
          <w:bCs/>
          <w:szCs w:val="21"/>
        </w:rPr>
        <w:t>规定</w:t>
      </w:r>
      <w:r>
        <w:rPr>
          <w:rFonts w:hint="eastAsia" w:ascii="宋体" w:hAnsi="宋体"/>
          <w:szCs w:val="21"/>
        </w:rPr>
        <w:t>调整供应商的技术、商务、价格</w:t>
      </w:r>
      <w:r>
        <w:rPr>
          <w:rFonts w:hint="eastAsia" w:ascii="宋体" w:hAnsi="宋体" w:cs="宋体"/>
          <w:kern w:val="0"/>
          <w:szCs w:val="21"/>
        </w:rPr>
        <w:t>得分或总得分</w:t>
      </w:r>
      <w:r>
        <w:rPr>
          <w:rFonts w:hint="eastAsia" w:ascii="宋体" w:hAnsi="宋体"/>
          <w:szCs w:val="21"/>
        </w:rPr>
        <w:t>。</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31.6</w:t>
      </w:r>
      <w:r>
        <w:rPr>
          <w:rFonts w:hint="eastAsia" w:ascii="宋体" w:hAnsi="宋体"/>
          <w:kern w:val="0"/>
          <w:szCs w:val="21"/>
        </w:rPr>
        <w:t>涉及多处或部分获得政府采购政策优惠的</w:t>
      </w:r>
      <w:r>
        <w:rPr>
          <w:rFonts w:hint="eastAsia" w:ascii="宋体" w:hAnsi="宋体"/>
          <w:szCs w:val="21"/>
        </w:rPr>
        <w:t>，其多处或部分享受政府采购优惠政策的计算方法见</w:t>
      </w:r>
      <w:r>
        <w:rPr>
          <w:rFonts w:hint="eastAsia" w:ascii="宋体" w:hAnsi="宋体"/>
          <w:b/>
          <w:bCs/>
          <w:szCs w:val="21"/>
        </w:rPr>
        <w:t>【磋商须知前附表】</w:t>
      </w:r>
      <w:r>
        <w:rPr>
          <w:rFonts w:hint="eastAsia" w:ascii="宋体" w:hAnsi="宋体"/>
          <w:szCs w:val="21"/>
        </w:rPr>
        <w:t>相关规定。</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cs="宋体"/>
          <w:kern w:val="0"/>
          <w:szCs w:val="21"/>
        </w:rPr>
        <w:t>31.7</w:t>
      </w:r>
      <w:r>
        <w:rPr>
          <w:rFonts w:hint="eastAsia" w:ascii="宋体" w:hAnsi="宋体"/>
          <w:szCs w:val="21"/>
        </w:rPr>
        <w:t>评审时，</w:t>
      </w:r>
      <w:r>
        <w:rPr>
          <w:rFonts w:hint="eastAsia" w:ascii="宋体" w:hAnsi="宋体"/>
          <w:kern w:val="0"/>
          <w:szCs w:val="21"/>
        </w:rPr>
        <w:t>磋商小组各成员应当独立对每个供应商的</w:t>
      </w:r>
      <w:r>
        <w:rPr>
          <w:rFonts w:hint="eastAsia" w:ascii="宋体" w:hAnsi="宋体"/>
          <w:bCs/>
          <w:kern w:val="0"/>
          <w:szCs w:val="21"/>
        </w:rPr>
        <w:t>响应文件</w:t>
      </w:r>
      <w:r>
        <w:rPr>
          <w:rFonts w:hint="eastAsia" w:ascii="宋体" w:hAnsi="宋体"/>
          <w:kern w:val="0"/>
          <w:szCs w:val="21"/>
        </w:rPr>
        <w:t>进行评价</w:t>
      </w:r>
      <w:r>
        <w:rPr>
          <w:rFonts w:hint="eastAsia" w:ascii="宋体" w:hAnsi="宋体"/>
          <w:szCs w:val="21"/>
        </w:rPr>
        <w:t>、评分，并按照政府采购优惠政策对最后报价进行价格扣除和技术、商务、价格加分后，汇总各供应商的总得分。</w:t>
      </w:r>
    </w:p>
    <w:p>
      <w:pPr>
        <w:pageBreakBefore w:val="0"/>
        <w:widowControl/>
        <w:kinsoku/>
        <w:wordWrap/>
        <w:overflowPunct/>
        <w:bidi w:val="0"/>
        <w:adjustRightInd w:val="0"/>
        <w:snapToGrid w:val="0"/>
        <w:spacing w:before="120" w:beforeLines="50" w:after="120" w:afterLines="50" w:line="440" w:lineRule="exact"/>
        <w:jc w:val="left"/>
        <w:rPr>
          <w:rFonts w:ascii="宋体" w:hAnsi="宋体"/>
          <w:b/>
          <w:bCs/>
          <w:szCs w:val="21"/>
        </w:rPr>
      </w:pPr>
      <w:r>
        <w:rPr>
          <w:rFonts w:hint="eastAsia" w:ascii="宋体" w:hAnsi="宋体"/>
          <w:b/>
          <w:bCs/>
          <w:szCs w:val="21"/>
        </w:rPr>
        <w:t>32</w:t>
      </w:r>
      <w:r>
        <w:rPr>
          <w:rFonts w:hint="eastAsia" w:ascii="宋体" w:hAnsi="宋体"/>
          <w:b/>
          <w:bCs/>
          <w:kern w:val="0"/>
          <w:szCs w:val="21"/>
        </w:rPr>
        <w:t>.</w:t>
      </w:r>
      <w:r>
        <w:rPr>
          <w:rFonts w:hint="eastAsia" w:ascii="宋体" w:hAnsi="宋体"/>
          <w:b/>
          <w:bCs/>
          <w:szCs w:val="21"/>
        </w:rPr>
        <w:t>提出成交供应商</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kern w:val="0"/>
          <w:szCs w:val="21"/>
        </w:rPr>
        <w:t>32.1</w:t>
      </w:r>
      <w:r>
        <w:rPr>
          <w:rFonts w:hint="eastAsia" w:ascii="宋体" w:hAnsi="宋体"/>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库〔2014〕214号)</w:t>
      </w:r>
      <w:r>
        <w:rPr>
          <w:rFonts w:hint="eastAsia" w:ascii="宋体" w:hAnsi="宋体"/>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hAnsi="宋体"/>
          <w:szCs w:val="21"/>
        </w:rPr>
        <w:t>可以推荐2家成交候选供应商。</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33.确定成交供应商</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33.1采购代理机构应当在评审结束后2个工作日内将评审报告送采购人确认。</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33.2采购人应当在收到评审报告后5个工作日内，从评审报告提出的成交候选供应商中，按照排序由高到低的原则确定成交供应商，也可以书面授权磋商小组直接确定成交供应商。</w:t>
      </w:r>
    </w:p>
    <w:p>
      <w:pPr>
        <w:pStyle w:val="18"/>
        <w:pageBreakBefore w:val="0"/>
        <w:kinsoku/>
        <w:wordWrap/>
        <w:overflowPunct/>
        <w:bidi w:val="0"/>
        <w:adjustRightInd w:val="0"/>
        <w:snapToGrid w:val="0"/>
        <w:spacing w:before="120" w:beforeLines="50" w:after="120" w:afterLines="50" w:line="440" w:lineRule="exact"/>
        <w:ind w:left="632" w:hanging="632" w:hangingChars="300"/>
        <w:rPr>
          <w:rFonts w:hAnsi="宋体"/>
          <w:b/>
          <w:bCs/>
        </w:rPr>
      </w:pPr>
      <w:r>
        <w:rPr>
          <w:rFonts w:hint="eastAsia" w:hAnsi="宋体"/>
          <w:b/>
          <w:bCs/>
        </w:rPr>
        <w:t>34.磋商终止</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szCs w:val="21"/>
        </w:rPr>
        <w:t>34.1</w:t>
      </w:r>
      <w:r>
        <w:rPr>
          <w:rFonts w:hint="eastAsia" w:ascii="宋体" w:hAnsi="宋体"/>
          <w:kern w:val="0"/>
          <w:szCs w:val="21"/>
        </w:rPr>
        <w:t>出现下列情形之一的，采购人或者采购代理机构应当终止竞争性磋商采购活动，</w:t>
      </w:r>
      <w:r>
        <w:rPr>
          <w:rFonts w:hint="eastAsia" w:ascii="宋体" w:hAnsi="宋体"/>
          <w:szCs w:val="21"/>
        </w:rPr>
        <w:t>在本章第37.1款指定的媒体上</w:t>
      </w:r>
      <w:r>
        <w:rPr>
          <w:rFonts w:hint="eastAsia" w:ascii="宋体" w:hAnsi="宋体"/>
          <w:kern w:val="0"/>
          <w:szCs w:val="21"/>
        </w:rPr>
        <w:t xml:space="preserve">发布项目终止公告并说明原因，重新开展采购活动： </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（1）因情况变化，不再符合规定的竞争性磋商采购方式适用情形的；</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（2）出现影响采购公正的违法、违规行为的；</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szCs w:val="21"/>
        </w:rPr>
      </w:pPr>
      <w:r>
        <w:rPr>
          <w:rFonts w:hint="eastAsia" w:ascii="宋体" w:hAnsi="宋体"/>
          <w:kern w:val="0"/>
          <w:szCs w:val="21"/>
        </w:rPr>
        <w:t>（3）</w:t>
      </w:r>
      <w:r>
        <w:rPr>
          <w:rFonts w:hint="eastAsia" w:ascii="宋体" w:hAnsi="宋体"/>
          <w:szCs w:val="21"/>
        </w:rPr>
        <w:t>除《政府采购竞争性磋商采购方式管理暂行办法》(财库〔2014〕214号)</w:t>
      </w:r>
      <w:r>
        <w:rPr>
          <w:rFonts w:hint="eastAsia" w:ascii="宋体" w:hAnsi="宋体"/>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hAnsi="宋体"/>
          <w:szCs w:val="21"/>
        </w:rPr>
        <w:t>情形外，在采购过程中符合要求的供应商或者报价未超过采购预算的供应商不足3家的；</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szCs w:val="21"/>
        </w:rPr>
      </w:pPr>
      <w:r>
        <w:rPr>
          <w:rFonts w:hint="eastAsia" w:ascii="宋体" w:hAnsi="宋体"/>
          <w:kern w:val="0"/>
          <w:szCs w:val="21"/>
        </w:rPr>
        <w:t>（4）因重大变故，采购任务取消的。</w:t>
      </w:r>
    </w:p>
    <w:p>
      <w:pPr>
        <w:pageBreakBefore w:val="0"/>
        <w:widowControl/>
        <w:kinsoku/>
        <w:wordWrap/>
        <w:overflowPunct/>
        <w:bidi w:val="0"/>
        <w:adjustRightInd w:val="0"/>
        <w:snapToGrid w:val="0"/>
        <w:spacing w:before="120" w:beforeLines="50" w:after="120" w:afterLines="50" w:line="440" w:lineRule="exact"/>
        <w:jc w:val="left"/>
        <w:rPr>
          <w:rFonts w:ascii="宋体" w:hAnsi="宋体"/>
          <w:b/>
          <w:bCs/>
          <w:kern w:val="0"/>
          <w:szCs w:val="21"/>
        </w:rPr>
      </w:pPr>
      <w:r>
        <w:rPr>
          <w:rFonts w:hint="eastAsia" w:ascii="宋体" w:hAnsi="宋体"/>
          <w:b/>
          <w:bCs/>
          <w:kern w:val="0"/>
          <w:szCs w:val="21"/>
        </w:rPr>
        <w:t>35．重新评审</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36.保密及串通行为</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36.1磋商小组成员以及与评审工作有关的人员不得泄露评审情况以及评审过程中获悉的国家秘密、商业秘密。</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36.2</w:t>
      </w:r>
      <w:r>
        <w:rPr>
          <w:rFonts w:hint="eastAsia" w:ascii="宋体" w:hAnsi="宋体"/>
          <w:kern w:val="0"/>
          <w:szCs w:val="21"/>
        </w:rPr>
        <w:t>供应商</w:t>
      </w:r>
      <w:r>
        <w:rPr>
          <w:rFonts w:hint="eastAsia" w:ascii="宋体" w:hAnsi="宋体"/>
          <w:szCs w:val="21"/>
        </w:rPr>
        <w:t>不得与</w:t>
      </w:r>
      <w:r>
        <w:rPr>
          <w:rFonts w:hint="eastAsia" w:ascii="宋体" w:hAnsi="宋体"/>
          <w:kern w:val="0"/>
          <w:szCs w:val="21"/>
        </w:rPr>
        <w:t>采购人、采购代理机构、其他供应商恶意</w:t>
      </w:r>
      <w:r>
        <w:rPr>
          <w:rFonts w:hint="eastAsia" w:ascii="宋体" w:hAnsi="宋体"/>
          <w:szCs w:val="21"/>
        </w:rPr>
        <w:t>串通；不得向</w:t>
      </w:r>
      <w:r>
        <w:rPr>
          <w:rFonts w:hint="eastAsia" w:ascii="宋体" w:hAnsi="宋体"/>
          <w:kern w:val="0"/>
          <w:szCs w:val="21"/>
        </w:rPr>
        <w:t>采购人、采购代理机构</w:t>
      </w:r>
      <w:r>
        <w:rPr>
          <w:rFonts w:hint="eastAsia" w:ascii="宋体" w:hAnsi="宋体"/>
          <w:szCs w:val="21"/>
        </w:rPr>
        <w:t>或者磋商小组成员行贿或者提供其他不正当利益；不得提供虚假资料谋取成交；不得以任何方式干扰、影响采购工作。</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cs="Arial"/>
          <w:sz w:val="21"/>
          <w:szCs w:val="21"/>
        </w:rPr>
        <w:t>36.3</w:t>
      </w:r>
      <w:r>
        <w:rPr>
          <w:rFonts w:hint="eastAsia"/>
          <w:sz w:val="21"/>
          <w:szCs w:val="21"/>
        </w:rPr>
        <w:t>有下列情形之一的，属于恶意串通，对供应商依照政府采购法第七十七条第一款的规定追究法律责任：</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sz w:val="21"/>
          <w:szCs w:val="21"/>
        </w:rPr>
        <w:t>（一）供应商直接或者间接从采购人或者采购代理机构处获得其他供应商的相关情况并修改其投标文件或者响应文件；</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sz w:val="21"/>
          <w:szCs w:val="21"/>
        </w:rPr>
        <w:t>（二）供应商按照采购人或者采购代理机构的授意撤换、修改投标文件或者响应文件；</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sz w:val="21"/>
          <w:szCs w:val="21"/>
        </w:rPr>
        <w:t>（三）供应商之间协商报价、技术方案等投标文件或者响应文件的实质性内容；</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sz w:val="21"/>
          <w:szCs w:val="21"/>
        </w:rPr>
        <w:t>（四）属于同一集团、协会、商会等组织成员的供应商按照该组织要求协同参加政府采购活动；</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sz w:val="21"/>
          <w:szCs w:val="21"/>
        </w:rPr>
        <w:t>（五）供应商之间事先约定由某一特定供应商中标、成交；</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sz w:val="21"/>
          <w:szCs w:val="21"/>
        </w:rPr>
        <w:t>（六）供应商之间商定部分供应商放弃参加政府采购活动或者放弃中标、成交；</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sz w:val="21"/>
          <w:szCs w:val="21"/>
        </w:rPr>
        <w:t>（七）供应商与采购人或者采购代理机构之间、供应商相互之间，为谋求特定供应商中标、成交或者排斥其他供应商的其他串通行为。</w:t>
      </w:r>
    </w:p>
    <w:p>
      <w:pPr>
        <w:pStyle w:val="9"/>
        <w:pageBreakBefore w:val="0"/>
        <w:kinsoku/>
        <w:wordWrap/>
        <w:overflowPunct/>
        <w:bidi w:val="0"/>
        <w:spacing w:before="240" w:beforeLines="100" w:after="120" w:line="440" w:lineRule="exact"/>
        <w:jc w:val="center"/>
        <w:rPr>
          <w:rFonts w:ascii="黑体" w:hAnsi="宋体" w:eastAsia="黑体"/>
          <w:b w:val="0"/>
          <w:sz w:val="28"/>
          <w:szCs w:val="28"/>
        </w:rPr>
      </w:pPr>
      <w:bookmarkStart w:id="14" w:name="_Toc12652"/>
      <w:r>
        <w:rPr>
          <w:rFonts w:hint="eastAsia" w:ascii="黑体" w:hAnsi="宋体" w:eastAsia="黑体"/>
          <w:b w:val="0"/>
          <w:sz w:val="28"/>
          <w:szCs w:val="28"/>
        </w:rPr>
        <w:t>六、成交结果信息公布与授予合同</w:t>
      </w:r>
      <w:bookmarkEnd w:id="14"/>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37.成交信息的公布</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37.1成交供应商确定后2个工作日内，成交结果信息将在</w:t>
      </w:r>
      <w:r>
        <w:rPr>
          <w:rFonts w:hint="eastAsia" w:hAnsi="宋体"/>
          <w:b/>
          <w:bCs/>
        </w:rPr>
        <w:t>【磋商须知前附表】</w:t>
      </w:r>
      <w:r>
        <w:rPr>
          <w:rFonts w:hint="eastAsia" w:hAnsi="宋体"/>
        </w:rPr>
        <w:t>指定的媒体上公布。</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38.询问及质疑</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38.1供应商对政府采购活动事项有疑问的，可以向采购人或采购代理机构提出询问。</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38.2供应商若认为磋商文件、采购过程和成交结果使自己的权益受到损害，可以按法律、行政法规及湖南省财政厅规范性文件规定向采购人或采购代理机构提出质疑。</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39.成交通知</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39.1成交供应商确定后，采购人或采购代理机构将以书面形式向成交供应商发出成交通知书。成交通知书对采购人和成交供应商具有同等法律效力。</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39.2 成交通知书是合同文件的组成部分。</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kern w:val="0"/>
          <w:szCs w:val="21"/>
        </w:rPr>
        <w:t xml:space="preserve">39.3 </w:t>
      </w:r>
      <w:r>
        <w:rPr>
          <w:rFonts w:hint="eastAsia" w:ascii="宋体" w:hAnsi="宋体"/>
          <w:szCs w:val="21"/>
        </w:rPr>
        <w:t>成交供应商在收到采购代理机构的成交通知书后10日内，应按照</w:t>
      </w:r>
      <w:r>
        <w:rPr>
          <w:rFonts w:hint="eastAsia" w:ascii="宋体" w:hAnsi="宋体"/>
          <w:b/>
          <w:bCs/>
          <w:szCs w:val="21"/>
        </w:rPr>
        <w:t>【磋商须知前附表】</w:t>
      </w:r>
      <w:r>
        <w:rPr>
          <w:rFonts w:hint="eastAsia" w:ascii="宋体" w:hAnsi="宋体"/>
          <w:szCs w:val="21"/>
        </w:rPr>
        <w:t>的规定，向采购人提交履约担保。联合体成交的，履约担保由联合体各方或联合体中牵头人的名义提交。</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39.4 成交供应商</w:t>
      </w:r>
      <w:r>
        <w:rPr>
          <w:rFonts w:hint="eastAsia" w:hAnsi="宋体"/>
          <w:spacing w:val="4"/>
        </w:rPr>
        <w:t>没有按照本章第39.3</w:t>
      </w:r>
      <w:r>
        <w:rPr>
          <w:rFonts w:hint="eastAsia" w:hAnsi="宋体"/>
          <w:kern w:val="0"/>
        </w:rPr>
        <w:t>款</w:t>
      </w:r>
      <w:r>
        <w:rPr>
          <w:rFonts w:hint="eastAsia" w:hAnsi="宋体"/>
          <w:spacing w:val="4"/>
        </w:rPr>
        <w:t>规定</w:t>
      </w:r>
      <w:r>
        <w:rPr>
          <w:rFonts w:hint="eastAsia" w:hAnsi="宋体"/>
        </w:rPr>
        <w:t>提交履约担保的</w:t>
      </w:r>
      <w:r>
        <w:rPr>
          <w:rFonts w:hint="eastAsia" w:hAnsi="宋体"/>
          <w:spacing w:val="4"/>
        </w:rPr>
        <w:t>，视为放弃</w:t>
      </w:r>
      <w:r>
        <w:rPr>
          <w:rFonts w:hint="eastAsia" w:hAnsi="宋体"/>
        </w:rPr>
        <w:t>成交资格</w:t>
      </w:r>
      <w:r>
        <w:rPr>
          <w:rFonts w:hint="eastAsia" w:hAnsi="宋体"/>
          <w:spacing w:val="4"/>
        </w:rPr>
        <w:t>，</w:t>
      </w:r>
      <w:r>
        <w:rPr>
          <w:rFonts w:hint="eastAsia" w:hAnsi="宋体"/>
          <w:spacing w:val="2"/>
        </w:rPr>
        <w:t>其保证金不予退还。</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40.签订合同</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40.1成交供应商应当在成交通知书发出之日起30日内与采购人签订政府采购合同。</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40.2磋商文件、成交供应商的响应文件等均为签订政府采购合同的依据。</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40.3 成交供应商应当按照合同约定履行义务。成交供应商不得向他人转让成交项目，也不得将成交项目分包后分别向他人转让。</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40.4 成交供应商有下列情形之一的，责令限期改正，情节严重的，列入不良行为记录名单，在1至3年内禁止参加政府采购活动，并予以通报：</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（一）成交后无正当理由不与采购人签订合同的；</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（二）未按照采购文件确定的事项签订政府采购合同，或者与采购人另行订立背离合同实质性内容的协议的；</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（三）拒绝履行合同义务的；</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kern w:val="0"/>
        </w:rPr>
      </w:pPr>
      <w:r>
        <w:rPr>
          <w:rFonts w:hint="eastAsia" w:hAnsi="宋体"/>
        </w:rPr>
        <w:t>（四）</w:t>
      </w:r>
      <w:r>
        <w:rPr>
          <w:rFonts w:hint="eastAsia" w:hAnsi="宋体"/>
          <w:kern w:val="0"/>
        </w:rPr>
        <w:t>违反法律、规章、规范性文件规定的。</w:t>
      </w:r>
    </w:p>
    <w:p>
      <w:pPr>
        <w:pStyle w:val="9"/>
        <w:pageBreakBefore w:val="0"/>
        <w:kinsoku/>
        <w:wordWrap/>
        <w:overflowPunct/>
        <w:bidi w:val="0"/>
        <w:spacing w:before="240" w:beforeLines="100" w:after="120" w:line="440" w:lineRule="exact"/>
        <w:jc w:val="center"/>
        <w:rPr>
          <w:rFonts w:ascii="黑体" w:hAnsi="宋体" w:eastAsia="黑体"/>
          <w:b w:val="0"/>
          <w:sz w:val="28"/>
          <w:szCs w:val="28"/>
        </w:rPr>
      </w:pPr>
      <w:bookmarkStart w:id="15" w:name="_Toc27477"/>
      <w:r>
        <w:rPr>
          <w:rFonts w:hint="eastAsia" w:ascii="黑体" w:hAnsi="宋体" w:eastAsia="黑体"/>
          <w:b w:val="0"/>
          <w:sz w:val="28"/>
          <w:szCs w:val="28"/>
        </w:rPr>
        <w:t>七、其他规定</w:t>
      </w:r>
      <w:bookmarkEnd w:id="15"/>
    </w:p>
    <w:p>
      <w:pPr>
        <w:pageBreakBefore w:val="0"/>
        <w:kinsoku/>
        <w:wordWrap/>
        <w:overflowPunct/>
        <w:bidi w:val="0"/>
        <w:adjustRightInd w:val="0"/>
        <w:snapToGrid w:val="0"/>
        <w:spacing w:line="440" w:lineRule="exact"/>
        <w:jc w:val="left"/>
        <w:rPr>
          <w:rFonts w:ascii="宋体" w:hAnsi="宋体"/>
          <w:b/>
          <w:szCs w:val="21"/>
        </w:rPr>
      </w:pPr>
      <w:r>
        <w:rPr>
          <w:rFonts w:hint="eastAsia" w:ascii="宋体" w:hAnsi="宋体"/>
          <w:b/>
          <w:szCs w:val="21"/>
        </w:rPr>
        <w:t>41. 采购代理服务费</w:t>
      </w:r>
    </w:p>
    <w:p>
      <w:pPr>
        <w:pageBreakBefore w:val="0"/>
        <w:tabs>
          <w:tab w:val="left" w:pos="420"/>
          <w:tab w:val="left" w:pos="7560"/>
          <w:tab w:val="left" w:pos="7740"/>
          <w:tab w:val="left" w:pos="7920"/>
        </w:tabs>
        <w:kinsoku/>
        <w:wordWrap/>
        <w:overflowPunct/>
        <w:bidi w:val="0"/>
        <w:adjustRightInd w:val="0"/>
        <w:snapToGrid w:val="0"/>
        <w:spacing w:line="440" w:lineRule="exact"/>
        <w:ind w:firstLine="420" w:firstLineChars="200"/>
        <w:rPr>
          <w:rFonts w:ascii="宋体" w:hAnsi="宋体"/>
          <w:szCs w:val="21"/>
        </w:rPr>
      </w:pPr>
      <w:r>
        <w:rPr>
          <w:rFonts w:hint="eastAsia" w:ascii="宋体" w:hAnsi="宋体"/>
          <w:szCs w:val="21"/>
        </w:rPr>
        <w:t>41.1采购代理机构应按</w:t>
      </w:r>
      <w:r>
        <w:rPr>
          <w:rFonts w:hint="eastAsia" w:ascii="宋体" w:hAnsi="宋体"/>
          <w:b/>
          <w:bCs/>
          <w:szCs w:val="21"/>
        </w:rPr>
        <w:t>【磋商须知前附表】</w:t>
      </w:r>
      <w:r>
        <w:rPr>
          <w:rFonts w:hint="eastAsia" w:ascii="宋体" w:hAnsi="宋体"/>
          <w:szCs w:val="21"/>
        </w:rPr>
        <w:t>规定收取采购代理服务费。</w:t>
      </w:r>
    </w:p>
    <w:p>
      <w:pPr>
        <w:pageBreakBefore w:val="0"/>
        <w:tabs>
          <w:tab w:val="left" w:pos="420"/>
          <w:tab w:val="left" w:pos="7560"/>
          <w:tab w:val="left" w:pos="7740"/>
          <w:tab w:val="left" w:pos="7920"/>
        </w:tabs>
        <w:kinsoku/>
        <w:wordWrap/>
        <w:overflowPunct/>
        <w:bidi w:val="0"/>
        <w:adjustRightInd w:val="0"/>
        <w:snapToGrid w:val="0"/>
        <w:spacing w:line="440" w:lineRule="exact"/>
        <w:ind w:firstLine="420" w:firstLineChars="200"/>
        <w:rPr>
          <w:rFonts w:ascii="宋体" w:hAnsi="宋体"/>
          <w:szCs w:val="21"/>
        </w:rPr>
      </w:pPr>
      <w:r>
        <w:rPr>
          <w:rFonts w:hint="eastAsia" w:ascii="宋体" w:hAnsi="宋体"/>
          <w:szCs w:val="21"/>
        </w:rPr>
        <w:t>41.2集中采购机构不得收取采购代理服务费。</w:t>
      </w:r>
    </w:p>
    <w:p>
      <w:pPr>
        <w:pageBreakBefore w:val="0"/>
        <w:tabs>
          <w:tab w:val="left" w:pos="420"/>
          <w:tab w:val="left" w:pos="7560"/>
          <w:tab w:val="left" w:pos="7740"/>
          <w:tab w:val="left" w:pos="7920"/>
        </w:tabs>
        <w:kinsoku/>
        <w:wordWrap/>
        <w:overflowPunct/>
        <w:bidi w:val="0"/>
        <w:adjustRightInd w:val="0"/>
        <w:snapToGrid w:val="0"/>
        <w:spacing w:line="440" w:lineRule="exact"/>
        <w:rPr>
          <w:rFonts w:hAnsi="宋体"/>
          <w:b/>
        </w:rPr>
      </w:pPr>
      <w:r>
        <w:rPr>
          <w:rFonts w:hint="eastAsia" w:ascii="宋体" w:hAnsi="宋体"/>
          <w:b/>
          <w:szCs w:val="21"/>
        </w:rPr>
        <w:t>42.</w:t>
      </w:r>
      <w:r>
        <w:rPr>
          <w:rFonts w:hint="eastAsia" w:hAnsi="宋体"/>
          <w:b/>
        </w:rPr>
        <w:t xml:space="preserve"> 其他规定</w:t>
      </w:r>
    </w:p>
    <w:p>
      <w:pPr>
        <w:pStyle w:val="18"/>
        <w:pageBreakBefore w:val="0"/>
        <w:kinsoku/>
        <w:wordWrap/>
        <w:overflowPunct/>
        <w:bidi w:val="0"/>
        <w:adjustRightInd w:val="0"/>
        <w:snapToGrid w:val="0"/>
        <w:spacing w:before="120" w:beforeLines="50" w:line="440" w:lineRule="exact"/>
        <w:ind w:firstLine="420" w:firstLineChars="200"/>
        <w:rPr>
          <w:rFonts w:hAnsi="宋体"/>
        </w:rPr>
      </w:pPr>
      <w:r>
        <w:rPr>
          <w:rFonts w:hint="eastAsia" w:hAnsi="宋体"/>
        </w:rPr>
        <w:t>42.1磋商文件的企业信用查询见</w:t>
      </w:r>
      <w:r>
        <w:rPr>
          <w:rFonts w:hint="eastAsia" w:hAnsi="宋体"/>
          <w:b/>
          <w:bCs/>
        </w:rPr>
        <w:t>【磋商须知前附表】</w:t>
      </w:r>
      <w:r>
        <w:rPr>
          <w:rFonts w:hint="eastAsia" w:hAnsi="宋体"/>
        </w:rPr>
        <w:t>。</w:t>
      </w:r>
    </w:p>
    <w:p>
      <w:pPr>
        <w:pStyle w:val="18"/>
        <w:pageBreakBefore w:val="0"/>
        <w:kinsoku/>
        <w:wordWrap/>
        <w:overflowPunct/>
        <w:bidi w:val="0"/>
        <w:adjustRightInd w:val="0"/>
        <w:snapToGrid w:val="0"/>
        <w:spacing w:before="120" w:beforeLines="50" w:line="440" w:lineRule="exact"/>
        <w:ind w:firstLine="420" w:firstLineChars="200"/>
        <w:sectPr>
          <w:footerReference r:id="rId10" w:type="default"/>
          <w:pgSz w:w="11906" w:h="16838"/>
          <w:pgMar w:top="1134" w:right="1134" w:bottom="1134" w:left="1134" w:header="510" w:footer="624" w:gutter="0"/>
          <w:cols w:space="720" w:num="1"/>
          <w:docGrid w:linePitch="312" w:charSpace="0"/>
        </w:sectPr>
      </w:pPr>
      <w:r>
        <w:rPr>
          <w:rFonts w:hint="eastAsia" w:hAnsi="宋体"/>
        </w:rPr>
        <w:t>42.2磋商文件的其他规定见</w:t>
      </w:r>
      <w:r>
        <w:rPr>
          <w:rFonts w:hint="eastAsia" w:hAnsi="宋体"/>
          <w:b/>
          <w:bCs/>
        </w:rPr>
        <w:t>【磋商须知前附表】</w:t>
      </w:r>
    </w:p>
    <w:p>
      <w:pPr>
        <w:pStyle w:val="2"/>
        <w:pageBreakBefore w:val="0"/>
        <w:numPr>
          <w:ilvl w:val="0"/>
          <w:numId w:val="0"/>
        </w:numPr>
        <w:kinsoku/>
        <w:wordWrap/>
        <w:overflowPunct/>
        <w:bidi w:val="0"/>
        <w:spacing w:line="440" w:lineRule="exact"/>
        <w:jc w:val="center"/>
        <w:rPr>
          <w:rFonts w:hint="eastAsia" w:ascii="宋体" w:hAnsi="宋体"/>
          <w:b/>
          <w:sz w:val="36"/>
          <w:szCs w:val="36"/>
        </w:rPr>
      </w:pPr>
      <w:bookmarkStart w:id="16" w:name="_Toc17211"/>
      <w:r>
        <w:rPr>
          <w:rFonts w:hint="eastAsia" w:ascii="宋体" w:hAnsi="宋体"/>
          <w:b/>
          <w:sz w:val="36"/>
          <w:szCs w:val="36"/>
          <w:lang w:val="en-US" w:eastAsia="zh-CN"/>
        </w:rPr>
        <w:t xml:space="preserve">第三章 </w:t>
      </w:r>
      <w:r>
        <w:rPr>
          <w:rFonts w:hint="eastAsia" w:ascii="宋体" w:hAnsi="宋体"/>
          <w:b/>
          <w:sz w:val="36"/>
          <w:szCs w:val="36"/>
        </w:rPr>
        <w:t>政府采购合同格式</w:t>
      </w:r>
      <w:bookmarkEnd w:id="16"/>
    </w:p>
    <w:p>
      <w:pPr>
        <w:pStyle w:val="2"/>
        <w:pageBreakBefore w:val="0"/>
        <w:numPr>
          <w:ilvl w:val="0"/>
          <w:numId w:val="0"/>
        </w:numPr>
        <w:kinsoku/>
        <w:wordWrap/>
        <w:overflowPunct/>
        <w:bidi w:val="0"/>
        <w:spacing w:line="440" w:lineRule="exact"/>
        <w:jc w:val="center"/>
        <w:rPr>
          <w:rFonts w:ascii="宋体" w:hAnsi="宋体"/>
          <w:b/>
          <w:sz w:val="36"/>
          <w:szCs w:val="36"/>
        </w:rPr>
      </w:pPr>
      <w:r>
        <w:rPr>
          <w:rFonts w:hint="eastAsia"/>
          <w:lang w:eastAsia="zh-CN"/>
        </w:rPr>
        <w:t>（合同版本仅供参考，最终以双方签订的为准）</w:t>
      </w:r>
    </w:p>
    <w:p>
      <w:pPr>
        <w:pStyle w:val="8"/>
        <w:pageBreakBefore w:val="0"/>
        <w:kinsoku/>
        <w:wordWrap/>
        <w:overflowPunct/>
        <w:bidi w:val="0"/>
        <w:spacing w:before="120" w:beforeLines="50" w:after="240" w:afterLines="100" w:line="440" w:lineRule="exact"/>
        <w:jc w:val="center"/>
        <w:rPr>
          <w:rFonts w:ascii="黑体" w:hAnsi="黑体" w:eastAsia="黑体"/>
          <w:sz w:val="30"/>
          <w:szCs w:val="30"/>
        </w:rPr>
      </w:pPr>
      <w:bookmarkStart w:id="17" w:name="_Toc216"/>
      <w:r>
        <w:rPr>
          <w:rFonts w:hint="eastAsia" w:ascii="黑体" w:hAnsi="黑体" w:eastAsia="黑体"/>
          <w:sz w:val="30"/>
          <w:szCs w:val="30"/>
        </w:rPr>
        <w:t>一、政府采购合同协议书</w:t>
      </w:r>
      <w:bookmarkEnd w:id="17"/>
    </w:p>
    <w:p>
      <w:pPr>
        <w:pageBreakBefore w:val="0"/>
        <w:kinsoku/>
        <w:wordWrap/>
        <w:overflowPunct/>
        <w:bidi w:val="0"/>
        <w:spacing w:before="120" w:beforeLines="50" w:after="120" w:afterLines="50" w:line="440" w:lineRule="exact"/>
        <w:jc w:val="center"/>
        <w:rPr>
          <w:rFonts w:ascii="黑体" w:hAnsi="黑体" w:eastAsia="黑体"/>
          <w:b/>
          <w:bCs/>
          <w:sz w:val="36"/>
          <w:szCs w:val="36"/>
        </w:rPr>
      </w:pPr>
      <w:r>
        <w:rPr>
          <w:rFonts w:hint="eastAsia" w:ascii="黑体" w:hAnsi="黑体" w:eastAsia="黑体"/>
          <w:b/>
          <w:bCs/>
          <w:sz w:val="36"/>
          <w:szCs w:val="36"/>
        </w:rPr>
        <w:t>合同协议书</w:t>
      </w:r>
    </w:p>
    <w:p>
      <w:pPr>
        <w:pageBreakBefore w:val="0"/>
        <w:kinsoku/>
        <w:wordWrap/>
        <w:overflowPunct/>
        <w:bidi w:val="0"/>
        <w:spacing w:before="120" w:beforeLines="50" w:after="120" w:afterLines="50" w:line="440" w:lineRule="exact"/>
        <w:ind w:firstLine="4200" w:firstLineChars="2000"/>
        <w:rPr>
          <w:rFonts w:ascii="黑体" w:hAnsi="黑体" w:eastAsia="黑体"/>
          <w:b/>
          <w:bCs/>
          <w:szCs w:val="21"/>
        </w:rPr>
      </w:pPr>
      <w:r>
        <w:rPr>
          <w:rFonts w:hint="eastAsia" w:ascii="宋体" w:hAnsi="宋体"/>
        </w:rPr>
        <w:t xml:space="preserve">               采购合同编号：</w:t>
      </w:r>
      <w:r>
        <w:rPr>
          <w:rFonts w:hint="eastAsia" w:ascii="宋体" w:hAnsi="宋体"/>
          <w:u w:val="single"/>
        </w:rPr>
        <w:t xml:space="preserve">                 </w:t>
      </w:r>
    </w:p>
    <w:p>
      <w:pPr>
        <w:pageBreakBefore w:val="0"/>
        <w:kinsoku/>
        <w:wordWrap/>
        <w:overflowPunct/>
        <w:bidi w:val="0"/>
        <w:adjustRightInd w:val="0"/>
        <w:snapToGrid w:val="0"/>
        <w:spacing w:line="440" w:lineRule="exact"/>
        <w:rPr>
          <w:rFonts w:ascii="宋体" w:hAnsi="宋体" w:cs="宋体"/>
          <w:szCs w:val="21"/>
        </w:rPr>
      </w:pPr>
      <w:r>
        <w:rPr>
          <w:rFonts w:hint="eastAsia" w:ascii="宋体" w:hAnsi="宋体" w:cs="宋体"/>
          <w:szCs w:val="21"/>
        </w:rPr>
        <w:t>采购人（全称）：</w:t>
      </w:r>
      <w:r>
        <w:rPr>
          <w:rFonts w:hint="eastAsia" w:ascii="宋体" w:hAnsi="宋体" w:cs="宋体"/>
          <w:szCs w:val="21"/>
          <w:u w:val="single"/>
        </w:rPr>
        <w:t xml:space="preserve">                             </w:t>
      </w:r>
      <w:r>
        <w:rPr>
          <w:rFonts w:hint="eastAsia" w:ascii="宋体" w:hAnsi="宋体" w:cs="宋体"/>
          <w:szCs w:val="21"/>
        </w:rPr>
        <w:t>（甲方）</w:t>
      </w:r>
    </w:p>
    <w:p>
      <w:pPr>
        <w:pageBreakBefore w:val="0"/>
        <w:kinsoku/>
        <w:wordWrap/>
        <w:overflowPunct/>
        <w:bidi w:val="0"/>
        <w:adjustRightInd w:val="0"/>
        <w:snapToGrid w:val="0"/>
        <w:spacing w:line="440" w:lineRule="exact"/>
        <w:rPr>
          <w:rFonts w:ascii="宋体" w:hAnsi="宋体" w:cs="宋体"/>
          <w:szCs w:val="21"/>
        </w:rPr>
      </w:pPr>
      <w:r>
        <w:rPr>
          <w:rFonts w:hint="eastAsia" w:ascii="宋体" w:hAnsi="宋体" w:cs="宋体"/>
          <w:szCs w:val="21"/>
        </w:rPr>
        <w:t>供应商（全称）：</w:t>
      </w:r>
      <w:r>
        <w:rPr>
          <w:rFonts w:hint="eastAsia" w:ascii="宋体" w:hAnsi="宋体" w:cs="宋体"/>
          <w:szCs w:val="21"/>
          <w:u w:val="single"/>
        </w:rPr>
        <w:t xml:space="preserve">                             </w:t>
      </w:r>
      <w:r>
        <w:rPr>
          <w:rFonts w:hint="eastAsia" w:ascii="宋体" w:hAnsi="宋体" w:cs="宋体"/>
          <w:szCs w:val="21"/>
        </w:rPr>
        <w:t>（乙方）</w:t>
      </w:r>
    </w:p>
    <w:p>
      <w:pPr>
        <w:pStyle w:val="3"/>
        <w:pageBreakBefore w:val="0"/>
        <w:kinsoku/>
        <w:wordWrap/>
        <w:overflowPunct/>
        <w:bidi w:val="0"/>
        <w:adjustRightInd w:val="0"/>
        <w:snapToGrid w:val="0"/>
        <w:spacing w:after="0" w:line="440" w:lineRule="exact"/>
        <w:rPr>
          <w:rFonts w:cs="宋体"/>
          <w:szCs w:val="21"/>
        </w:rPr>
      </w:pPr>
    </w:p>
    <w:p>
      <w:pPr>
        <w:pStyle w:val="3"/>
        <w:pageBreakBefore w:val="0"/>
        <w:kinsoku/>
        <w:wordWrap/>
        <w:overflowPunct/>
        <w:bidi w:val="0"/>
        <w:adjustRightInd w:val="0"/>
        <w:snapToGrid w:val="0"/>
        <w:spacing w:after="0" w:line="440" w:lineRule="exact"/>
        <w:ind w:left="0" w:leftChars="0" w:firstLine="420" w:firstLineChars="200"/>
        <w:rPr>
          <w:rFonts w:cs="宋体"/>
          <w:szCs w:val="21"/>
        </w:rPr>
      </w:pPr>
      <w:r>
        <w:rPr>
          <w:rFonts w:hint="eastAsia" w:cs="宋体"/>
          <w:szCs w:val="21"/>
        </w:rPr>
        <w:t>为了保护甲、乙双方合法权益，根据《中华人民共和国民法典》《中华人民共和国政府采购法》及其它有关法律、法规、规章，双方签订本合同协议书。</w:t>
      </w:r>
    </w:p>
    <w:p>
      <w:pPr>
        <w:pageBreakBefore w:val="0"/>
        <w:kinsoku/>
        <w:wordWrap/>
        <w:overflowPunct/>
        <w:bidi w:val="0"/>
        <w:adjustRightInd w:val="0"/>
        <w:snapToGrid w:val="0"/>
        <w:spacing w:line="440" w:lineRule="exact"/>
        <w:ind w:firstLine="421" w:firstLineChars="200"/>
        <w:rPr>
          <w:rFonts w:ascii="宋体" w:hAnsi="宋体" w:cs="宋体"/>
          <w:b/>
          <w:szCs w:val="21"/>
        </w:rPr>
      </w:pPr>
      <w:r>
        <w:rPr>
          <w:rFonts w:hint="eastAsia" w:ascii="宋体" w:hAnsi="宋体" w:cs="宋体"/>
          <w:b/>
          <w:szCs w:val="21"/>
        </w:rPr>
        <w:t>1.项目信息</w:t>
      </w:r>
    </w:p>
    <w:p>
      <w:pPr>
        <w:pStyle w:val="3"/>
        <w:pageBreakBefore w:val="0"/>
        <w:kinsoku/>
        <w:wordWrap/>
        <w:overflowPunct/>
        <w:bidi w:val="0"/>
        <w:adjustRightInd w:val="0"/>
        <w:snapToGrid w:val="0"/>
        <w:spacing w:after="0" w:line="440" w:lineRule="exact"/>
        <w:rPr>
          <w:rFonts w:cs="宋体"/>
          <w:szCs w:val="21"/>
          <w:u w:val="single"/>
        </w:rPr>
      </w:pPr>
      <w:r>
        <w:rPr>
          <w:rFonts w:hint="eastAsia" w:cs="宋体"/>
          <w:szCs w:val="21"/>
        </w:rPr>
        <w:t>（1）采购项目名称：</w:t>
      </w:r>
      <w:r>
        <w:rPr>
          <w:rFonts w:hint="eastAsia" w:cs="宋体"/>
          <w:szCs w:val="21"/>
          <w:u w:val="single"/>
        </w:rPr>
        <w:t xml:space="preserve">                          </w:t>
      </w:r>
    </w:p>
    <w:p>
      <w:pPr>
        <w:pStyle w:val="3"/>
        <w:pageBreakBefore w:val="0"/>
        <w:kinsoku/>
        <w:wordWrap/>
        <w:overflowPunct/>
        <w:bidi w:val="0"/>
        <w:adjustRightInd w:val="0"/>
        <w:snapToGrid w:val="0"/>
        <w:spacing w:after="0" w:line="440" w:lineRule="exact"/>
        <w:rPr>
          <w:rFonts w:cs="宋体"/>
          <w:szCs w:val="21"/>
        </w:rPr>
      </w:pPr>
      <w:r>
        <w:rPr>
          <w:rFonts w:hint="eastAsia" w:cs="宋体"/>
          <w:szCs w:val="21"/>
        </w:rPr>
        <w:t>（2）采购计划编号：</w:t>
      </w:r>
      <w:r>
        <w:rPr>
          <w:rFonts w:hint="eastAsia" w:cs="宋体"/>
          <w:szCs w:val="21"/>
          <w:u w:val="single"/>
        </w:rPr>
        <w:t xml:space="preserve">                          </w:t>
      </w:r>
      <w:r>
        <w:rPr>
          <w:rFonts w:hint="eastAsia" w:cs="宋体"/>
          <w:szCs w:val="21"/>
        </w:rPr>
        <w:t xml:space="preserve"> </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（3）项目内容：</w:t>
      </w:r>
      <w:r>
        <w:rPr>
          <w:rFonts w:hint="eastAsia" w:ascii="宋体" w:hAnsi="宋体" w:cs="宋体"/>
          <w:szCs w:val="21"/>
          <w:u w:val="single"/>
        </w:rPr>
        <w:t xml:space="preserve">                             </w:t>
      </w:r>
    </w:p>
    <w:p>
      <w:pPr>
        <w:pageBreakBefore w:val="0"/>
        <w:kinsoku/>
        <w:wordWrap/>
        <w:overflowPunct/>
        <w:bidi w:val="0"/>
        <w:adjustRightInd w:val="0"/>
        <w:snapToGrid w:val="0"/>
        <w:spacing w:line="440" w:lineRule="exact"/>
        <w:ind w:firstLine="413" w:firstLineChars="196"/>
        <w:rPr>
          <w:rFonts w:ascii="宋体" w:hAnsi="宋体" w:cs="宋体"/>
          <w:b/>
          <w:szCs w:val="21"/>
        </w:rPr>
      </w:pPr>
      <w:r>
        <w:rPr>
          <w:rFonts w:hint="eastAsia" w:ascii="宋体" w:hAnsi="宋体" w:cs="宋体"/>
          <w:b/>
          <w:szCs w:val="21"/>
        </w:rPr>
        <w:t>2.合同金额</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（1）价格小写：</w:t>
      </w:r>
      <w:r>
        <w:rPr>
          <w:rFonts w:hint="eastAsia" w:ascii="宋体" w:hAnsi="宋体" w:cs="宋体"/>
          <w:szCs w:val="21"/>
          <w:u w:val="single"/>
        </w:rPr>
        <w:t xml:space="preserve">                      </w:t>
      </w:r>
    </w:p>
    <w:p>
      <w:pPr>
        <w:pageBreakBefore w:val="0"/>
        <w:kinsoku/>
        <w:wordWrap/>
        <w:overflowPunct/>
        <w:bidi w:val="0"/>
        <w:adjustRightInd w:val="0"/>
        <w:snapToGrid w:val="0"/>
        <w:spacing w:line="440" w:lineRule="exact"/>
        <w:ind w:firstLine="1260" w:firstLineChars="600"/>
        <w:rPr>
          <w:rFonts w:ascii="宋体" w:hAnsi="宋体" w:cs="宋体"/>
          <w:b/>
          <w:szCs w:val="21"/>
        </w:rPr>
      </w:pPr>
      <w:r>
        <w:rPr>
          <w:rFonts w:hint="eastAsia" w:ascii="宋体" w:hAnsi="宋体" w:cs="宋体"/>
          <w:szCs w:val="21"/>
        </w:rPr>
        <w:t>大写：</w:t>
      </w:r>
      <w:r>
        <w:rPr>
          <w:rFonts w:hint="eastAsia" w:ascii="宋体" w:hAnsi="宋体" w:cs="宋体"/>
          <w:szCs w:val="21"/>
          <w:u w:val="single"/>
        </w:rPr>
        <w:t xml:space="preserve">                      </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（2）具体标的见附件。</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（3）合同价格形式：</w:t>
      </w:r>
      <w:r>
        <w:rPr>
          <w:rFonts w:hint="eastAsia" w:ascii="宋体" w:hAnsi="宋体" w:cs="宋体"/>
          <w:szCs w:val="21"/>
          <w:u w:val="single"/>
        </w:rPr>
        <w:t xml:space="preserve">               </w:t>
      </w:r>
      <w:r>
        <w:rPr>
          <w:rFonts w:hint="eastAsia" w:ascii="宋体" w:hAnsi="宋体" w:cs="宋体"/>
          <w:szCs w:val="21"/>
        </w:rPr>
        <w:t xml:space="preserve"> 。</w:t>
      </w:r>
    </w:p>
    <w:p>
      <w:pPr>
        <w:pageBreakBefore w:val="0"/>
        <w:kinsoku/>
        <w:wordWrap/>
        <w:overflowPunct/>
        <w:bidi w:val="0"/>
        <w:adjustRightInd w:val="0"/>
        <w:snapToGrid w:val="0"/>
        <w:spacing w:line="440" w:lineRule="exact"/>
        <w:ind w:firstLine="421" w:firstLineChars="200"/>
        <w:rPr>
          <w:rFonts w:ascii="宋体" w:hAnsi="宋体" w:cs="宋体"/>
          <w:szCs w:val="21"/>
          <w:u w:val="single"/>
        </w:rPr>
      </w:pPr>
      <w:r>
        <w:rPr>
          <w:rFonts w:hint="eastAsia" w:ascii="宋体" w:hAnsi="宋体" w:cs="宋体"/>
          <w:b/>
          <w:szCs w:val="21"/>
        </w:rPr>
        <w:t>3.履行合同的时间、地点及方式</w:t>
      </w:r>
      <w:r>
        <w:rPr>
          <w:rFonts w:hint="eastAsia" w:ascii="宋体" w:hAnsi="宋体" w:cs="宋体"/>
          <w:szCs w:val="21"/>
          <w:u w:val="single"/>
        </w:rPr>
        <w:t xml:space="preserve"> </w:t>
      </w:r>
    </w:p>
    <w:p>
      <w:pPr>
        <w:pageBreakBefore w:val="0"/>
        <w:kinsoku/>
        <w:wordWrap/>
        <w:overflowPunct/>
        <w:bidi w:val="0"/>
        <w:adjustRightInd w:val="0"/>
        <w:snapToGrid w:val="0"/>
        <w:spacing w:line="440" w:lineRule="exact"/>
        <w:ind w:firstLine="630" w:firstLineChars="300"/>
        <w:rPr>
          <w:rFonts w:ascii="宋体" w:hAnsi="宋体" w:cs="宋体"/>
          <w:szCs w:val="21"/>
        </w:rPr>
      </w:pPr>
      <w:r>
        <w:rPr>
          <w:rFonts w:hint="eastAsia" w:ascii="宋体" w:hAnsi="宋体" w:cs="宋体"/>
          <w:szCs w:val="21"/>
        </w:rPr>
        <w:t>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日。总日历天数：</w:t>
      </w:r>
      <w:r>
        <w:rPr>
          <w:rFonts w:hint="eastAsia" w:ascii="宋体" w:hAnsi="宋体" w:cs="宋体"/>
          <w:szCs w:val="21"/>
          <w:u w:val="single"/>
        </w:rPr>
        <w:t xml:space="preserve">     </w:t>
      </w:r>
      <w:r>
        <w:rPr>
          <w:rFonts w:hint="eastAsia" w:ascii="宋体" w:hAnsi="宋体" w:cs="宋体"/>
          <w:szCs w:val="21"/>
        </w:rPr>
        <w:t>天。</w:t>
      </w:r>
    </w:p>
    <w:p>
      <w:pPr>
        <w:pageBreakBefore w:val="0"/>
        <w:kinsoku/>
        <w:wordWrap/>
        <w:overflowPunct/>
        <w:bidi w:val="0"/>
        <w:adjustRightInd w:val="0"/>
        <w:snapToGrid w:val="0"/>
        <w:spacing w:line="440" w:lineRule="exact"/>
        <w:ind w:firstLine="630" w:firstLineChars="300"/>
        <w:rPr>
          <w:rFonts w:ascii="宋体" w:hAnsi="宋体" w:cs="宋体"/>
          <w:szCs w:val="21"/>
          <w:u w:val="single"/>
        </w:rPr>
      </w:pPr>
      <w:r>
        <w:rPr>
          <w:rFonts w:hint="eastAsia" w:ascii="宋体" w:hAnsi="宋体" w:cs="宋体"/>
          <w:szCs w:val="21"/>
        </w:rPr>
        <w:t>地点</w:t>
      </w:r>
      <w:r>
        <w:rPr>
          <w:rFonts w:hint="eastAsia" w:ascii="宋体" w:hAnsi="宋体" w:cs="宋体"/>
          <w:b/>
          <w:szCs w:val="21"/>
        </w:rPr>
        <w:t>：</w:t>
      </w:r>
      <w:r>
        <w:rPr>
          <w:rFonts w:hint="eastAsia" w:ascii="宋体" w:hAnsi="宋体" w:cs="宋体"/>
          <w:szCs w:val="21"/>
          <w:u w:val="single"/>
        </w:rPr>
        <w:t xml:space="preserve">                             </w:t>
      </w:r>
    </w:p>
    <w:p>
      <w:pPr>
        <w:pageBreakBefore w:val="0"/>
        <w:kinsoku/>
        <w:wordWrap/>
        <w:overflowPunct/>
        <w:bidi w:val="0"/>
        <w:adjustRightInd w:val="0"/>
        <w:snapToGrid w:val="0"/>
        <w:spacing w:line="440" w:lineRule="exact"/>
        <w:ind w:firstLine="630" w:firstLineChars="300"/>
        <w:rPr>
          <w:rFonts w:ascii="宋体" w:hAnsi="宋体" w:cs="宋体"/>
          <w:szCs w:val="21"/>
        </w:rPr>
      </w:pPr>
      <w:r>
        <w:rPr>
          <w:rFonts w:hint="eastAsia" w:ascii="宋体" w:hAnsi="宋体" w:cs="宋体"/>
          <w:szCs w:val="21"/>
        </w:rPr>
        <w:t>方式：</w:t>
      </w:r>
      <w:r>
        <w:rPr>
          <w:rFonts w:hint="eastAsia" w:ascii="宋体" w:hAnsi="宋体" w:cs="宋体"/>
          <w:szCs w:val="21"/>
          <w:u w:val="single"/>
        </w:rPr>
        <w:t xml:space="preserve">                             </w:t>
      </w:r>
    </w:p>
    <w:p>
      <w:pPr>
        <w:pageBreakBefore w:val="0"/>
        <w:kinsoku/>
        <w:wordWrap/>
        <w:overflowPunct/>
        <w:bidi w:val="0"/>
        <w:adjustRightInd w:val="0"/>
        <w:snapToGrid w:val="0"/>
        <w:spacing w:line="440" w:lineRule="exact"/>
        <w:ind w:firstLine="421" w:firstLineChars="200"/>
        <w:rPr>
          <w:rFonts w:ascii="宋体" w:hAnsi="宋体" w:cs="宋体"/>
          <w:b/>
          <w:szCs w:val="21"/>
        </w:rPr>
      </w:pPr>
      <w:r>
        <w:rPr>
          <w:rFonts w:hint="eastAsia" w:ascii="宋体" w:hAnsi="宋体" w:cs="宋体"/>
          <w:b/>
          <w:szCs w:val="21"/>
        </w:rPr>
        <w:t>4.付款：</w:t>
      </w:r>
    </w:p>
    <w:p>
      <w:pPr>
        <w:pageBreakBefore w:val="0"/>
        <w:kinsoku/>
        <w:wordWrap/>
        <w:overflowPunct/>
        <w:bidi w:val="0"/>
        <w:adjustRightInd w:val="0"/>
        <w:snapToGrid w:val="0"/>
        <w:spacing w:line="440" w:lineRule="exact"/>
        <w:ind w:firstLine="630" w:firstLineChars="300"/>
        <w:rPr>
          <w:rFonts w:ascii="宋体" w:hAnsi="宋体" w:cs="宋体"/>
          <w:bCs/>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 xml:space="preserve">。  </w:t>
      </w:r>
    </w:p>
    <w:p>
      <w:pPr>
        <w:pageBreakBefore w:val="0"/>
        <w:kinsoku/>
        <w:wordWrap/>
        <w:overflowPunct/>
        <w:bidi w:val="0"/>
        <w:adjustRightInd w:val="0"/>
        <w:snapToGrid w:val="0"/>
        <w:spacing w:line="440" w:lineRule="exact"/>
        <w:ind w:firstLine="630" w:firstLineChars="300"/>
        <w:rPr>
          <w:rFonts w:ascii="宋体" w:hAnsi="宋体" w:cs="宋体"/>
          <w:szCs w:val="21"/>
        </w:rPr>
      </w:pPr>
      <w:r>
        <w:rPr>
          <w:rFonts w:hint="eastAsia" w:ascii="宋体" w:hAnsi="宋体" w:cs="宋体"/>
          <w:bCs/>
          <w:szCs w:val="21"/>
        </w:rPr>
        <w:t>2、预付款根据采购文件的约定，在合同签订前提交不超过合同金额</w:t>
      </w:r>
      <w:r>
        <w:rPr>
          <w:rFonts w:hint="eastAsia" w:ascii="宋体" w:hAnsi="宋体" w:cs="宋体"/>
          <w:bCs/>
          <w:szCs w:val="21"/>
          <w:u w:val="single"/>
          <w:lang w:val="en-US" w:eastAsia="zh-CN"/>
        </w:rPr>
        <w:t xml:space="preserve"> / </w:t>
      </w:r>
      <w:r>
        <w:rPr>
          <w:rFonts w:hint="eastAsia" w:ascii="宋体" w:hAnsi="宋体" w:cs="宋体"/>
          <w:bCs/>
          <w:szCs w:val="21"/>
        </w:rPr>
        <w:t>%的履约担保。</w:t>
      </w:r>
    </w:p>
    <w:p>
      <w:pPr>
        <w:pageBreakBefore w:val="0"/>
        <w:kinsoku/>
        <w:wordWrap/>
        <w:overflowPunct/>
        <w:bidi w:val="0"/>
        <w:adjustRightInd w:val="0"/>
        <w:snapToGrid w:val="0"/>
        <w:spacing w:line="440" w:lineRule="exact"/>
        <w:ind w:firstLine="421" w:firstLineChars="200"/>
        <w:rPr>
          <w:rFonts w:ascii="宋体" w:hAnsi="宋体" w:cs="宋体"/>
          <w:b/>
          <w:szCs w:val="21"/>
        </w:rPr>
      </w:pPr>
      <w:r>
        <w:rPr>
          <w:rFonts w:hint="eastAsia" w:ascii="宋体" w:hAnsi="宋体" w:cs="宋体"/>
          <w:b/>
          <w:szCs w:val="21"/>
        </w:rPr>
        <w:t>5.解决合同纠纷方式</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首先通过双方协商解决，协商解决不成，则通过以下途径之一解决纠纷：</w:t>
      </w:r>
    </w:p>
    <w:p>
      <w:pPr>
        <w:pageBreakBefore w:val="0"/>
        <w:kinsoku/>
        <w:wordWrap/>
        <w:overflowPunct/>
        <w:bidi w:val="0"/>
        <w:adjustRightInd w:val="0"/>
        <w:snapToGrid w:val="0"/>
        <w:spacing w:line="440" w:lineRule="exact"/>
        <w:ind w:firstLine="840" w:firstLineChars="400"/>
        <w:rPr>
          <w:rFonts w:ascii="宋体" w:hAnsi="宋体" w:cs="宋体"/>
          <w:szCs w:val="21"/>
        </w:rPr>
      </w:pPr>
      <w:r>
        <w:rPr>
          <w:rFonts w:hint="eastAsia" w:ascii="宋体" w:hAnsi="宋体" w:cs="宋体"/>
          <w:szCs w:val="21"/>
        </w:rPr>
        <w:t>□ 提请仲裁       □ 向人民法院提起诉讼</w:t>
      </w:r>
    </w:p>
    <w:p>
      <w:pPr>
        <w:pageBreakBefore w:val="0"/>
        <w:kinsoku/>
        <w:wordWrap/>
        <w:overflowPunct/>
        <w:bidi w:val="0"/>
        <w:adjustRightInd w:val="0"/>
        <w:snapToGrid w:val="0"/>
        <w:spacing w:line="440" w:lineRule="exact"/>
        <w:ind w:firstLine="421" w:firstLineChars="200"/>
        <w:rPr>
          <w:rFonts w:ascii="宋体" w:hAnsi="宋体" w:cs="宋体"/>
          <w:b/>
          <w:szCs w:val="21"/>
        </w:rPr>
      </w:pPr>
      <w:r>
        <w:rPr>
          <w:rFonts w:hint="eastAsia" w:ascii="宋体" w:hAnsi="宋体" w:cs="宋体"/>
          <w:b/>
          <w:szCs w:val="21"/>
        </w:rPr>
        <w:t>6.组成合同的文件</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本协议书与下列文件一起构成合同文件，如下述文件之间有任何抵触、矛盾或歧义，应按以下顺序解释：</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（1）在采购或合同履行过程中乙方作出的承诺以及双方协商达成的变更或补充协议</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（2）成交通知书</w:t>
      </w:r>
    </w:p>
    <w:p>
      <w:pPr>
        <w:pageBreakBefore w:val="0"/>
        <w:kinsoku/>
        <w:wordWrap/>
        <w:overflowPunct/>
        <w:bidi w:val="0"/>
        <w:adjustRightInd w:val="0"/>
        <w:snapToGrid w:val="0"/>
        <w:spacing w:line="440" w:lineRule="exact"/>
        <w:ind w:firstLine="420" w:firstLineChars="200"/>
        <w:rPr>
          <w:rFonts w:ascii="宋体" w:hAnsi="宋体" w:cs="宋体"/>
          <w:sz w:val="24"/>
        </w:rPr>
      </w:pPr>
      <w:r>
        <w:rPr>
          <w:rFonts w:hint="eastAsia" w:ascii="宋体" w:hAnsi="宋体" w:cs="宋体"/>
          <w:szCs w:val="21"/>
        </w:rPr>
        <w:t>（3）响应文件</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（4）政府采购合同格式条款及其附件</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（5）专用合同条款</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（6）通用合同条款（如果有）</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（7）标准、规范及有关技术文件，图纸，已标价工程量清单或预算书（如果有）</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（8）其它合同文件。</w:t>
      </w:r>
    </w:p>
    <w:p>
      <w:pPr>
        <w:pageBreakBefore w:val="0"/>
        <w:kinsoku/>
        <w:wordWrap/>
        <w:overflowPunct/>
        <w:bidi w:val="0"/>
        <w:adjustRightInd w:val="0"/>
        <w:snapToGrid w:val="0"/>
        <w:spacing w:line="440" w:lineRule="exact"/>
        <w:ind w:firstLine="309" w:firstLineChars="147"/>
        <w:rPr>
          <w:rFonts w:ascii="宋体" w:hAnsi="宋体" w:cs="宋体"/>
          <w:b/>
          <w:szCs w:val="21"/>
        </w:rPr>
      </w:pPr>
      <w:r>
        <w:rPr>
          <w:rFonts w:hint="eastAsia" w:ascii="宋体" w:hAnsi="宋体" w:cs="宋体"/>
          <w:b/>
          <w:szCs w:val="21"/>
        </w:rPr>
        <w:t>7.合同生效</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本合同自</w:t>
      </w:r>
      <w:r>
        <w:rPr>
          <w:rFonts w:hint="eastAsia" w:ascii="宋体" w:hAnsi="宋体" w:cs="宋体"/>
          <w:szCs w:val="21"/>
          <w:u w:val="single"/>
        </w:rPr>
        <w:t xml:space="preserve">                               </w:t>
      </w:r>
      <w:r>
        <w:rPr>
          <w:rFonts w:hint="eastAsia" w:ascii="宋体" w:hAnsi="宋体" w:cs="宋体"/>
          <w:szCs w:val="21"/>
        </w:rPr>
        <w:t>生效。</w:t>
      </w:r>
    </w:p>
    <w:p>
      <w:pPr>
        <w:pageBreakBefore w:val="0"/>
        <w:kinsoku/>
        <w:wordWrap/>
        <w:overflowPunct/>
        <w:bidi w:val="0"/>
        <w:adjustRightInd w:val="0"/>
        <w:snapToGrid w:val="0"/>
        <w:spacing w:line="440" w:lineRule="exact"/>
        <w:ind w:firstLine="309" w:firstLineChars="147"/>
        <w:rPr>
          <w:rFonts w:ascii="宋体" w:hAnsi="宋体" w:cs="宋体"/>
          <w:b/>
          <w:szCs w:val="21"/>
        </w:rPr>
      </w:pPr>
      <w:r>
        <w:rPr>
          <w:rFonts w:hint="eastAsia" w:ascii="宋体" w:hAnsi="宋体" w:cs="宋体"/>
          <w:b/>
          <w:szCs w:val="21"/>
        </w:rPr>
        <w:t>8.合同份数</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本合同一式</w:t>
      </w:r>
      <w:r>
        <w:rPr>
          <w:rFonts w:hint="eastAsia" w:ascii="宋体" w:hAnsi="宋体" w:cs="宋体"/>
          <w:szCs w:val="21"/>
          <w:u w:val="single"/>
        </w:rPr>
        <w:t xml:space="preserve">    </w:t>
      </w:r>
      <w:r>
        <w:rPr>
          <w:rFonts w:hint="eastAsia" w:ascii="宋体" w:hAnsi="宋体" w:cs="宋体"/>
          <w:szCs w:val="21"/>
        </w:rPr>
        <w:t>份，采购人执</w:t>
      </w:r>
      <w:r>
        <w:rPr>
          <w:rFonts w:hint="eastAsia" w:ascii="宋体" w:hAnsi="宋体" w:cs="宋体"/>
          <w:szCs w:val="21"/>
          <w:u w:val="single"/>
        </w:rPr>
        <w:t xml:space="preserve">   </w:t>
      </w:r>
      <w:r>
        <w:rPr>
          <w:rFonts w:hint="eastAsia" w:ascii="宋体" w:hAnsi="宋体" w:cs="宋体"/>
          <w:szCs w:val="21"/>
        </w:rPr>
        <w:t>份，供应商执</w:t>
      </w:r>
      <w:r>
        <w:rPr>
          <w:rFonts w:hint="eastAsia" w:ascii="宋体" w:hAnsi="宋体" w:cs="宋体"/>
          <w:szCs w:val="21"/>
          <w:u w:val="single"/>
        </w:rPr>
        <w:t xml:space="preserve">   </w:t>
      </w:r>
      <w:r>
        <w:rPr>
          <w:rFonts w:hint="eastAsia" w:ascii="宋体" w:hAnsi="宋体" w:cs="宋体"/>
          <w:szCs w:val="21"/>
        </w:rPr>
        <w:t>份，采购代理机构1份，政府采购管理部门1份，均具有同等法律效力。</w:t>
      </w:r>
    </w:p>
    <w:p>
      <w:pPr>
        <w:pageBreakBefore w:val="0"/>
        <w:kinsoku/>
        <w:wordWrap/>
        <w:overflowPunct/>
        <w:bidi w:val="0"/>
        <w:adjustRightInd w:val="0"/>
        <w:snapToGrid w:val="0"/>
        <w:spacing w:line="440" w:lineRule="exact"/>
        <w:rPr>
          <w:rFonts w:ascii="宋体" w:hAnsi="宋体" w:cs="宋体"/>
          <w:szCs w:val="21"/>
        </w:rPr>
      </w:pPr>
    </w:p>
    <w:p>
      <w:pPr>
        <w:pageBreakBefore w:val="0"/>
        <w:kinsoku/>
        <w:wordWrap/>
        <w:overflowPunct/>
        <w:bidi w:val="0"/>
        <w:adjustRightInd w:val="0"/>
        <w:snapToGrid w:val="0"/>
        <w:spacing w:line="440" w:lineRule="exact"/>
        <w:rPr>
          <w:rFonts w:ascii="宋体" w:hAnsi="宋体" w:cs="宋体"/>
          <w:szCs w:val="21"/>
        </w:rPr>
      </w:pPr>
      <w:r>
        <w:rPr>
          <w:rFonts w:hint="eastAsia" w:ascii="宋体" w:hAnsi="宋体" w:cs="宋体"/>
          <w:szCs w:val="21"/>
        </w:rPr>
        <w:t>合同订立时间：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ageBreakBefore w:val="0"/>
        <w:kinsoku/>
        <w:wordWrap/>
        <w:overflowPunct/>
        <w:bidi w:val="0"/>
        <w:adjustRightInd w:val="0"/>
        <w:snapToGrid w:val="0"/>
        <w:spacing w:line="440" w:lineRule="exact"/>
        <w:rPr>
          <w:rFonts w:ascii="宋体" w:hAnsi="宋体" w:cs="宋体"/>
          <w:szCs w:val="21"/>
        </w:rPr>
      </w:pPr>
      <w:r>
        <w:rPr>
          <w:rFonts w:hint="eastAsia" w:ascii="宋体" w:hAnsi="宋体" w:cs="宋体"/>
          <w:szCs w:val="21"/>
        </w:rPr>
        <w:t>合同订立地点：</w:t>
      </w:r>
      <w:r>
        <w:rPr>
          <w:rFonts w:hint="eastAsia" w:ascii="宋体" w:hAnsi="宋体" w:cs="宋体"/>
          <w:szCs w:val="21"/>
          <w:u w:val="single"/>
        </w:rPr>
        <w:t xml:space="preserve">                           </w:t>
      </w:r>
    </w:p>
    <w:tbl>
      <w:tblPr>
        <w:tblStyle w:val="31"/>
        <w:tblpPr w:leftFromText="180" w:rightFromText="180" w:vertAnchor="text" w:horzAnchor="page" w:tblpX="1757" w:tblpY="246"/>
        <w:tblOverlap w:val="never"/>
        <w:tblW w:w="8799" w:type="dxa"/>
        <w:tblInd w:w="0" w:type="dxa"/>
        <w:tblLayout w:type="fixed"/>
        <w:tblCellMar>
          <w:top w:w="0" w:type="dxa"/>
          <w:left w:w="108" w:type="dxa"/>
          <w:bottom w:w="0" w:type="dxa"/>
          <w:right w:w="108" w:type="dxa"/>
        </w:tblCellMar>
      </w:tblPr>
      <w:tblGrid>
        <w:gridCol w:w="4936"/>
        <w:gridCol w:w="3863"/>
      </w:tblGrid>
      <w:tr>
        <w:tblPrEx>
          <w:tblCellMar>
            <w:top w:w="0" w:type="dxa"/>
            <w:left w:w="108" w:type="dxa"/>
            <w:bottom w:w="0" w:type="dxa"/>
            <w:right w:w="108" w:type="dxa"/>
          </w:tblCellMar>
        </w:tblPrEx>
        <w:trPr>
          <w:cantSplit/>
          <w:trHeight w:val="4215" w:hRule="atLeast"/>
        </w:trPr>
        <w:tc>
          <w:tcPr>
            <w:tcW w:w="4936" w:type="dxa"/>
          </w:tcPr>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甲方（盖章）</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法定代表人：</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授权代表（签字）：</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联系电话：</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单位地址：</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签订时间：</w:t>
            </w:r>
          </w:p>
        </w:tc>
        <w:tc>
          <w:tcPr>
            <w:tcW w:w="3863" w:type="dxa"/>
          </w:tcPr>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乙方（盖章）</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法定代表人：</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授权代表（签字）：</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联系电话：</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单位地址：</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开户银行：</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账    号：</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签订时间：</w:t>
            </w:r>
          </w:p>
        </w:tc>
      </w:tr>
    </w:tbl>
    <w:p>
      <w:pPr>
        <w:pageBreakBefore w:val="0"/>
        <w:kinsoku/>
        <w:wordWrap/>
        <w:overflowPunct/>
        <w:bidi w:val="0"/>
        <w:adjustRightInd w:val="0"/>
        <w:snapToGrid w:val="0"/>
        <w:spacing w:line="440" w:lineRule="exact"/>
        <w:sectPr>
          <w:headerReference r:id="rId11" w:type="default"/>
          <w:pgSz w:w="11906" w:h="16838"/>
          <w:pgMar w:top="1134" w:right="1134" w:bottom="1134" w:left="1134" w:header="510" w:footer="624" w:gutter="0"/>
          <w:cols w:space="720" w:num="1"/>
          <w:docGrid w:linePitch="312" w:charSpace="0"/>
        </w:sectPr>
      </w:pPr>
    </w:p>
    <w:p>
      <w:pPr>
        <w:pageBreakBefore w:val="0"/>
        <w:tabs>
          <w:tab w:val="left" w:pos="8820"/>
          <w:tab w:val="left" w:pos="9345"/>
          <w:tab w:val="left" w:pos="9765"/>
        </w:tabs>
        <w:kinsoku/>
        <w:wordWrap/>
        <w:overflowPunct/>
        <w:bidi w:val="0"/>
        <w:adjustRightInd w:val="0"/>
        <w:snapToGrid w:val="0"/>
        <w:spacing w:before="120" w:beforeLines="50" w:line="440" w:lineRule="exact"/>
        <w:ind w:right="384" w:rightChars="183"/>
        <w:jc w:val="center"/>
        <w:rPr>
          <w:rFonts w:ascii="宋体" w:hAnsi="宋体" w:cs="宋体"/>
          <w:b/>
          <w:sz w:val="32"/>
          <w:szCs w:val="32"/>
        </w:rPr>
      </w:pPr>
      <w:bookmarkStart w:id="18" w:name="_Toc22208"/>
      <w:r>
        <w:rPr>
          <w:rFonts w:hint="eastAsia" w:ascii="宋体" w:hAnsi="宋体" w:cs="宋体"/>
          <w:b/>
          <w:sz w:val="32"/>
          <w:szCs w:val="32"/>
        </w:rPr>
        <w:t>二、政府采购合同通用条款</w:t>
      </w:r>
    </w:p>
    <w:p>
      <w:pPr>
        <w:pStyle w:val="13"/>
        <w:pageBreakBefore w:val="0"/>
        <w:kinsoku/>
        <w:wordWrap/>
        <w:overflowPunct/>
        <w:bidi w:val="0"/>
        <w:spacing w:line="440" w:lineRule="exact"/>
      </w:pPr>
    </w:p>
    <w:p>
      <w:pPr>
        <w:pageBreakBefore w:val="0"/>
        <w:tabs>
          <w:tab w:val="left" w:pos="8820"/>
          <w:tab w:val="left" w:pos="9345"/>
          <w:tab w:val="left" w:pos="9765"/>
        </w:tabs>
        <w:kinsoku/>
        <w:wordWrap/>
        <w:overflowPunct/>
        <w:bidi w:val="0"/>
        <w:adjustRightInd w:val="0"/>
        <w:snapToGrid w:val="0"/>
        <w:spacing w:line="440" w:lineRule="exact"/>
        <w:ind w:firstLine="421" w:firstLineChars="200"/>
        <w:jc w:val="left"/>
        <w:rPr>
          <w:rFonts w:ascii="宋体" w:hAnsi="宋体"/>
          <w:b/>
          <w:bCs/>
          <w:szCs w:val="21"/>
        </w:rPr>
      </w:pPr>
      <w:r>
        <w:rPr>
          <w:rFonts w:hint="eastAsia" w:ascii="宋体" w:hAnsi="宋体"/>
          <w:b/>
          <w:szCs w:val="21"/>
        </w:rPr>
        <w:t>1.</w:t>
      </w:r>
      <w:r>
        <w:rPr>
          <w:rFonts w:hint="eastAsia" w:ascii="宋体" w:hAnsi="宋体"/>
          <w:b/>
          <w:bCs/>
          <w:szCs w:val="21"/>
        </w:rPr>
        <w:t>定义</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1.1合同当事人</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（1）采购人（以下称甲方）是指使用财政性资金，通过政府采购程序向供应商购买货物、服务的国家机关、事业单位、团体组织。本次采购的甲方名称、地址见</w:t>
      </w:r>
      <w:r>
        <w:rPr>
          <w:rFonts w:hint="eastAsia" w:ascii="宋体" w:hAnsi="宋体"/>
          <w:b/>
          <w:szCs w:val="21"/>
        </w:rPr>
        <w:t>【政府采购合同专用条款】。</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b/>
          <w:szCs w:val="21"/>
        </w:rPr>
      </w:pPr>
      <w:r>
        <w:rPr>
          <w:rFonts w:hint="eastAsia" w:ascii="宋体" w:hAnsi="宋体"/>
          <w:szCs w:val="21"/>
        </w:rPr>
        <w:t>（2）供应商（以下称乙方）是指参加政府采购活动而取得中标结果，并向采购人提供货物、服务的法人、其他组织或者自然人。</w:t>
      </w:r>
    </w:p>
    <w:p>
      <w:pPr>
        <w:pageBreakBefore w:val="0"/>
        <w:tabs>
          <w:tab w:val="left" w:pos="570"/>
          <w:tab w:val="left" w:pos="9240"/>
          <w:tab w:val="left" w:pos="9555"/>
        </w:tabs>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1.2本合同下列术语应解释为：</w:t>
      </w:r>
    </w:p>
    <w:p>
      <w:pPr>
        <w:pageBreakBefore w:val="0"/>
        <w:tabs>
          <w:tab w:val="left" w:pos="570"/>
          <w:tab w:val="left" w:pos="9240"/>
          <w:tab w:val="left" w:pos="9555"/>
        </w:tabs>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（1）“合同”系指甲乙双方签署的、政府采购合同协议书中载明的甲乙双方所达成的协议，包括所有的附件、附录和上述文件所提到的构成合同的所有文件。</w:t>
      </w:r>
    </w:p>
    <w:p>
      <w:pPr>
        <w:pageBreakBefore w:val="0"/>
        <w:tabs>
          <w:tab w:val="left" w:pos="570"/>
          <w:tab w:val="left" w:pos="9240"/>
          <w:tab w:val="left" w:pos="9555"/>
        </w:tabs>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（2）“合同价”系指根据本合同规定乙方在正确地完全履行合同义务后甲方应支付给乙方的价款。</w:t>
      </w:r>
    </w:p>
    <w:p>
      <w:pPr>
        <w:pageBreakBefore w:val="0"/>
        <w:tabs>
          <w:tab w:val="left" w:pos="570"/>
          <w:tab w:val="left" w:pos="9240"/>
          <w:tab w:val="left" w:pos="9555"/>
        </w:tabs>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（3）“服务”系指乙方根据本合同规定须向甲方提供的各种形态和种类的服务。</w:t>
      </w:r>
    </w:p>
    <w:p>
      <w:pPr>
        <w:pageBreakBefore w:val="0"/>
        <w:tabs>
          <w:tab w:val="left" w:pos="570"/>
          <w:tab w:val="left" w:pos="8880"/>
          <w:tab w:val="left" w:pos="9555"/>
        </w:tabs>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（4）“伴随服务”系指根据本合同规定乙方承担与供货有关的辅助服务。</w:t>
      </w:r>
    </w:p>
    <w:p>
      <w:pPr>
        <w:pageBreakBefore w:val="0"/>
        <w:tabs>
          <w:tab w:val="left" w:pos="570"/>
          <w:tab w:val="left" w:pos="9240"/>
          <w:tab w:val="left" w:pos="9555"/>
        </w:tabs>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（5）“合同条款”系指本合同条款。</w:t>
      </w:r>
    </w:p>
    <w:p>
      <w:pPr>
        <w:pageBreakBefore w:val="0"/>
        <w:tabs>
          <w:tab w:val="left" w:pos="570"/>
          <w:tab w:val="left" w:pos="9240"/>
          <w:tab w:val="left" w:pos="9555"/>
        </w:tabs>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（6）“项目现场”其名称见</w:t>
      </w:r>
      <w:r>
        <w:rPr>
          <w:rFonts w:hint="eastAsia" w:ascii="宋体" w:hAnsi="宋体"/>
          <w:b/>
          <w:szCs w:val="21"/>
        </w:rPr>
        <w:t>【政府采购合同专用条款】</w:t>
      </w:r>
      <w:r>
        <w:rPr>
          <w:rFonts w:hint="eastAsia" w:ascii="宋体" w:hAnsi="宋体"/>
          <w:szCs w:val="21"/>
        </w:rPr>
        <w:t>。</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szCs w:val="21"/>
        </w:rPr>
      </w:pPr>
      <w:r>
        <w:rPr>
          <w:rFonts w:hint="eastAsia" w:ascii="宋体" w:hAnsi="宋体"/>
          <w:b/>
          <w:szCs w:val="21"/>
        </w:rPr>
        <w:t>2.合同的适用范围</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2.1 本合同条款适用于没有被本合同其他部分的条款所取代的范围。</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2.2 合同内容根据招标文件、投标文件而确定。</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bCs/>
          <w:szCs w:val="21"/>
        </w:rPr>
      </w:pPr>
      <w:r>
        <w:rPr>
          <w:rFonts w:hint="eastAsia" w:ascii="宋体" w:hAnsi="宋体"/>
          <w:b/>
          <w:bCs/>
          <w:szCs w:val="21"/>
        </w:rPr>
        <w:t>3.</w:t>
      </w:r>
      <w:r>
        <w:rPr>
          <w:rFonts w:hint="eastAsia" w:ascii="宋体" w:hAnsi="宋体"/>
          <w:b/>
          <w:szCs w:val="21"/>
        </w:rPr>
        <w:t>合同标的及金额</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3.1 合同标的及金额应与中标结果一致。</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bCs/>
          <w:szCs w:val="21"/>
        </w:rPr>
      </w:pPr>
      <w:r>
        <w:rPr>
          <w:rFonts w:hint="eastAsia" w:ascii="宋体" w:hAnsi="宋体"/>
          <w:b/>
          <w:bCs/>
          <w:szCs w:val="21"/>
        </w:rPr>
        <w:t>4.</w:t>
      </w:r>
      <w:r>
        <w:rPr>
          <w:rFonts w:hint="eastAsia" w:ascii="宋体" w:hAnsi="宋体"/>
          <w:b/>
          <w:szCs w:val="21"/>
        </w:rPr>
        <w:t>合同价款</w:t>
      </w:r>
    </w:p>
    <w:p>
      <w:pPr>
        <w:pageBreakBefore w:val="0"/>
        <w:kinsoku/>
        <w:wordWrap/>
        <w:overflowPunct/>
        <w:bidi w:val="0"/>
        <w:adjustRightInd w:val="0"/>
        <w:snapToGrid w:val="0"/>
        <w:spacing w:line="440" w:lineRule="exact"/>
        <w:ind w:firstLine="420" w:firstLineChars="200"/>
        <w:jc w:val="left"/>
        <w:rPr>
          <w:rFonts w:ascii="宋体" w:hAnsi="宋体"/>
          <w:b/>
          <w:bCs/>
          <w:i/>
          <w:iCs/>
          <w:szCs w:val="21"/>
        </w:rPr>
      </w:pPr>
      <w:r>
        <w:rPr>
          <w:rFonts w:hint="eastAsia" w:ascii="宋体" w:hAnsi="宋体"/>
          <w:szCs w:val="21"/>
        </w:rPr>
        <w:t>4.1具体合同价款见本合同第3.1条。乙方为履行本合同而发生的所有费用均应包含在合同价款中，甲方不再另行支付其它任何费用。</w:t>
      </w:r>
    </w:p>
    <w:p>
      <w:pPr>
        <w:pageBreakBefore w:val="0"/>
        <w:kinsoku/>
        <w:wordWrap/>
        <w:overflowPunct/>
        <w:bidi w:val="0"/>
        <w:adjustRightInd w:val="0"/>
        <w:snapToGrid w:val="0"/>
        <w:spacing w:line="440" w:lineRule="exact"/>
        <w:ind w:firstLine="421" w:firstLineChars="200"/>
        <w:jc w:val="left"/>
        <w:rPr>
          <w:rFonts w:ascii="宋体" w:hAnsi="宋体"/>
          <w:b/>
          <w:szCs w:val="21"/>
        </w:rPr>
      </w:pPr>
      <w:r>
        <w:rPr>
          <w:rFonts w:hint="eastAsia" w:ascii="宋体" w:hAnsi="宋体"/>
          <w:b/>
          <w:szCs w:val="21"/>
        </w:rPr>
        <w:t>5.履行合同的时间、地点和方式</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5.1 乙方应当在甲方确定的时间、指定的地点履行合同，具体的交货时间、地点和方式见</w:t>
      </w:r>
      <w:r>
        <w:rPr>
          <w:rFonts w:hint="eastAsia" w:ascii="宋体" w:hAnsi="宋体"/>
          <w:b/>
          <w:szCs w:val="21"/>
        </w:rPr>
        <w:t>【政府采购合同专用条款】</w:t>
      </w:r>
      <w:r>
        <w:rPr>
          <w:rFonts w:hint="eastAsia" w:ascii="宋体" w:hAnsi="宋体"/>
          <w:szCs w:val="21"/>
        </w:rPr>
        <w:t>。</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5.2 乙方提供服务的应当在甲方指定的地点完成服务项目。</w:t>
      </w:r>
    </w:p>
    <w:p>
      <w:pPr>
        <w:pageBreakBefore w:val="0"/>
        <w:kinsoku/>
        <w:wordWrap/>
        <w:overflowPunct/>
        <w:bidi w:val="0"/>
        <w:adjustRightInd w:val="0"/>
        <w:snapToGrid w:val="0"/>
        <w:spacing w:line="440" w:lineRule="exact"/>
        <w:ind w:firstLine="421" w:firstLineChars="200"/>
        <w:jc w:val="left"/>
        <w:rPr>
          <w:rFonts w:ascii="宋体" w:hAnsi="宋体"/>
          <w:b/>
          <w:bCs/>
          <w:szCs w:val="21"/>
        </w:rPr>
      </w:pPr>
      <w:r>
        <w:rPr>
          <w:rFonts w:hint="eastAsia" w:ascii="宋体" w:hAnsi="宋体"/>
          <w:b/>
          <w:bCs/>
          <w:szCs w:val="21"/>
        </w:rPr>
        <w:t>6.</w:t>
      </w:r>
      <w:r>
        <w:rPr>
          <w:rFonts w:hint="eastAsia" w:ascii="宋体" w:hAnsi="宋体"/>
          <w:b/>
          <w:szCs w:val="21"/>
        </w:rPr>
        <w:t>服务的验收</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6.1 甲方在收到乙方完成服务后应当及时组织验收。</w:t>
      </w:r>
    </w:p>
    <w:p>
      <w:pPr>
        <w:pageBreakBefore w:val="0"/>
        <w:kinsoku/>
        <w:wordWrap/>
        <w:overflowPunct/>
        <w:bidi w:val="0"/>
        <w:adjustRightInd w:val="0"/>
        <w:snapToGrid w:val="0"/>
        <w:spacing w:line="440" w:lineRule="exact"/>
        <w:ind w:firstLine="421" w:firstLineChars="200"/>
        <w:jc w:val="left"/>
        <w:rPr>
          <w:rFonts w:ascii="宋体" w:hAnsi="宋体"/>
          <w:b/>
          <w:szCs w:val="21"/>
        </w:rPr>
      </w:pPr>
      <w:r>
        <w:rPr>
          <w:rFonts w:hint="eastAsia" w:ascii="宋体" w:hAnsi="宋体"/>
          <w:b/>
          <w:szCs w:val="21"/>
        </w:rPr>
        <w:t>7.质量标准和保证</w:t>
      </w:r>
    </w:p>
    <w:p>
      <w:pPr>
        <w:pStyle w:val="18"/>
        <w:pageBreakBefore w:val="0"/>
        <w:kinsoku/>
        <w:wordWrap/>
        <w:overflowPunct/>
        <w:bidi w:val="0"/>
        <w:adjustRightInd w:val="0"/>
        <w:snapToGrid w:val="0"/>
        <w:spacing w:line="440" w:lineRule="exact"/>
        <w:ind w:firstLine="420" w:firstLineChars="200"/>
        <w:jc w:val="left"/>
        <w:rPr>
          <w:rFonts w:hAnsi="宋体"/>
          <w:b/>
        </w:rPr>
      </w:pPr>
      <w:r>
        <w:rPr>
          <w:rFonts w:hint="eastAsia" w:hAnsi="宋体"/>
        </w:rPr>
        <w:t>7.1 质量标准</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（1）本合同下交付的服务应符合招标文件第四章“技术规格、参数与要求”所述的标准。如果没有提及适用标准，则应符合中华人民共和国有关机构发布的最新版本的标准。</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（2）采用中华人民共和国法定计量单位。</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bCs/>
          <w:szCs w:val="21"/>
        </w:rPr>
      </w:pPr>
      <w:r>
        <w:rPr>
          <w:rFonts w:hint="eastAsia" w:ascii="宋体" w:hAnsi="宋体"/>
          <w:b/>
          <w:bCs/>
          <w:szCs w:val="21"/>
        </w:rPr>
        <w:t>8.保密义务</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8.1 甲、乙双方在采购和履行合同过程中所获悉的对方属于保密的内容，双方均有保密义务。</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bCs/>
          <w:szCs w:val="21"/>
        </w:rPr>
      </w:pPr>
      <w:r>
        <w:rPr>
          <w:rFonts w:hint="eastAsia" w:ascii="宋体" w:hAnsi="宋体"/>
          <w:b/>
          <w:bCs/>
          <w:szCs w:val="21"/>
        </w:rPr>
        <w:t>9.合同价款支付</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9.1合同价款支付方式</w:t>
      </w:r>
      <w:r>
        <w:rPr>
          <w:rFonts w:hint="eastAsia" w:ascii="宋体" w:hAnsi="宋体"/>
          <w:bCs/>
          <w:szCs w:val="21"/>
        </w:rPr>
        <w:t>和条件在</w:t>
      </w:r>
      <w:r>
        <w:rPr>
          <w:rFonts w:hint="eastAsia" w:ascii="宋体" w:hAnsi="宋体"/>
          <w:b/>
          <w:szCs w:val="21"/>
        </w:rPr>
        <w:t>【政府采购合同专用条款】</w:t>
      </w:r>
      <w:r>
        <w:rPr>
          <w:rFonts w:hint="eastAsia" w:ascii="宋体" w:hAnsi="宋体"/>
          <w:szCs w:val="21"/>
        </w:rPr>
        <w:t>中规定。</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szCs w:val="21"/>
        </w:rPr>
      </w:pPr>
      <w:r>
        <w:rPr>
          <w:rFonts w:hint="eastAsia" w:ascii="宋体" w:hAnsi="宋体"/>
          <w:b/>
          <w:bCs/>
          <w:szCs w:val="21"/>
        </w:rPr>
        <w:t>10.</w:t>
      </w:r>
      <w:r>
        <w:rPr>
          <w:rFonts w:hint="eastAsia" w:ascii="宋体" w:hAnsi="宋体"/>
          <w:b/>
          <w:szCs w:val="21"/>
        </w:rPr>
        <w:t>伴随服务</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szCs w:val="21"/>
        </w:rPr>
      </w:pPr>
      <w:r>
        <w:rPr>
          <w:rFonts w:hint="eastAsia" w:ascii="宋体" w:hAnsi="宋体"/>
          <w:b/>
          <w:szCs w:val="21"/>
        </w:rPr>
        <w:t>10.1【政府采购合同专用条款】</w:t>
      </w:r>
      <w:r>
        <w:rPr>
          <w:rFonts w:hint="eastAsia" w:ascii="宋体" w:hAnsi="宋体"/>
          <w:szCs w:val="21"/>
        </w:rPr>
        <w:t>与招标文件第四章“技术规格、参数和要求”规定的其他伴随服务</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10.2 乙方提供的伴随服务的费用应包含在合同价款中，甲方不再另行支付。</w:t>
      </w:r>
    </w:p>
    <w:p>
      <w:pPr>
        <w:pageBreakBefore w:val="0"/>
        <w:kinsoku/>
        <w:wordWrap/>
        <w:overflowPunct/>
        <w:bidi w:val="0"/>
        <w:adjustRightInd w:val="0"/>
        <w:snapToGrid w:val="0"/>
        <w:spacing w:line="440" w:lineRule="exact"/>
        <w:ind w:firstLine="421" w:firstLineChars="200"/>
        <w:jc w:val="left"/>
        <w:rPr>
          <w:rFonts w:ascii="宋体" w:hAnsi="宋体"/>
          <w:b/>
          <w:bCs/>
          <w:szCs w:val="21"/>
        </w:rPr>
      </w:pPr>
      <w:r>
        <w:rPr>
          <w:rFonts w:hint="eastAsia" w:ascii="宋体" w:hAnsi="宋体"/>
          <w:b/>
          <w:bCs/>
          <w:szCs w:val="21"/>
        </w:rPr>
        <w:t>11.违约责任</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bCs/>
          <w:szCs w:val="21"/>
        </w:rPr>
        <w:t>11.1甲</w:t>
      </w:r>
      <w:r>
        <w:rPr>
          <w:rFonts w:hint="eastAsia" w:ascii="宋体" w:hAnsi="宋体"/>
          <w:szCs w:val="21"/>
        </w:rPr>
        <w:t>乙双方应按照合同约定的方式解决索赔事宜。</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szCs w:val="21"/>
        </w:rPr>
      </w:pPr>
      <w:r>
        <w:rPr>
          <w:rFonts w:hint="eastAsia" w:ascii="宋体" w:hAnsi="宋体"/>
          <w:b/>
          <w:szCs w:val="21"/>
        </w:rPr>
        <w:t>12.合同的变更</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12.1 在合同履行过程中，甲、乙双方可就合同履行的时间、地点和方式等协商进行变更。协商一致后，双方应签订书面的补充协议。</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12.2 在不改变合同其他条款的前提下，甲方有权在合同价款百分之十的范围内追加与合同标的相同的货物或服务，并就此与乙方签订补充合同，乙方不得拒绝。</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12.3 除双方签署书面协议，并成为合同不可分割的一部分外，本合同条件不得有任何变更。</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szCs w:val="21"/>
        </w:rPr>
      </w:pPr>
      <w:r>
        <w:rPr>
          <w:rFonts w:hint="eastAsia" w:ascii="宋体" w:hAnsi="宋体"/>
          <w:b/>
          <w:szCs w:val="21"/>
        </w:rPr>
        <w:t>13.合同中止与终止</w:t>
      </w:r>
    </w:p>
    <w:p>
      <w:pPr>
        <w:pageBreakBefore w:val="0"/>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13.1合同的中止</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（1）合同在履行过程中，因采购计划调整，甲方可以要求中止履行，待计划确定后继续履行；</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（2）合同履行过程中因供应商就采购过程或结果提起投诉的，甲方认为有必要或财政部门责令中止的，应当中止合同的履行。</w:t>
      </w:r>
    </w:p>
    <w:p>
      <w:pPr>
        <w:pageBreakBefore w:val="0"/>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13.2合同的终止</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（1）合同因有效期限届满而终止；</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（2）乙方未能依照本合同约定条件履行合同，已构成根本性违约的，甲方有权终止本合同，并追究乙方的违约责任。</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（3）如果乙方丧失履约能力或被宣告破产，甲方可在任何时候以书面形式通知乙方终止合同而不给乙方补偿。</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（4）如果乙方在履行合同过程中有不正当竞争行为，甲方有权解除合同，并按《中华人民共和国反不正当竞争法》规定由有关部门追究其法律责任。</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（5）如果合同的履行将损害国家利益或社会公共利益，甲方有权终止合同的履行，给乙方造成损失的予以相应补偿。</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bCs/>
          <w:szCs w:val="21"/>
        </w:rPr>
      </w:pPr>
      <w:r>
        <w:rPr>
          <w:rFonts w:hint="eastAsia" w:ascii="宋体" w:hAnsi="宋体"/>
          <w:b/>
          <w:bCs/>
          <w:szCs w:val="21"/>
        </w:rPr>
        <w:t>15.不可抗力</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15.1 不可抗力是指合同双方不可预见、不可避免、不可克服的自然灾害和社会事件。</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15.2 任何一方对由于不可抗力造成的部分或全部不能履行合同不承担违约责任。但迟延履行后发生不可抗力的，不能免除责任。</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15.3 遇有不可抗力的一方，应在三日内将事件的情况以书面形式通知另一方，并在事件发生后十日内，向另一方提交合同不能履行或部分不能履行或需要延期履行理由的报告。</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bCs/>
          <w:szCs w:val="21"/>
        </w:rPr>
      </w:pPr>
      <w:r>
        <w:rPr>
          <w:rFonts w:hint="eastAsia" w:ascii="宋体" w:hAnsi="宋体"/>
          <w:b/>
          <w:bCs/>
          <w:szCs w:val="21"/>
        </w:rPr>
        <w:t>16.解决争议的方法</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16.1 合同各方应通过友好协商，解决在执行合同过程中所发生的或与合同有关的一切争端。如从协商开始后十日内仍不能解决，可以向财政部门提请调解。</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16.2 调解不成可以按</w:t>
      </w:r>
      <w:r>
        <w:rPr>
          <w:rFonts w:hint="eastAsia" w:ascii="宋体" w:hAnsi="宋体"/>
          <w:b/>
          <w:szCs w:val="21"/>
        </w:rPr>
        <w:t>【政府采购合同专用条款】</w:t>
      </w:r>
      <w:r>
        <w:rPr>
          <w:rFonts w:hint="eastAsia" w:ascii="宋体" w:hAnsi="宋体"/>
          <w:szCs w:val="21"/>
        </w:rPr>
        <w:t>中约定中规定下列方式之一提起仲裁或诉讼：</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（1）向甲方所在地仲裁机构提起仲裁；</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（2）向甲方所在地人民法院提起诉讼。</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16.3 如仲裁或诉讼事项不影响合同其它部分的履行，则在仲裁或诉讼期间，除正在进行仲裁或诉讼的部分外，合同的其它部分应继续执行。</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szCs w:val="21"/>
        </w:rPr>
      </w:pPr>
      <w:r>
        <w:rPr>
          <w:rFonts w:hint="eastAsia" w:ascii="宋体" w:hAnsi="宋体"/>
          <w:b/>
          <w:szCs w:val="21"/>
        </w:rPr>
        <w:t>17.法律适用</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17.1 本合同适用中华人民共和国现行法律、行政法规和规章，如合同条款与法律、行政法规和规章不一致的，按照法律、行政法规和规章修改本合同。</w:t>
      </w:r>
    </w:p>
    <w:p>
      <w:pPr>
        <w:pageBreakBefore w:val="0"/>
        <w:kinsoku/>
        <w:wordWrap/>
        <w:overflowPunct/>
        <w:autoSpaceDE w:val="0"/>
        <w:autoSpaceDN w:val="0"/>
        <w:bidi w:val="0"/>
        <w:adjustRightInd w:val="0"/>
        <w:snapToGrid w:val="0"/>
        <w:spacing w:line="440" w:lineRule="exact"/>
        <w:ind w:firstLine="421" w:firstLineChars="200"/>
        <w:jc w:val="left"/>
        <w:rPr>
          <w:rFonts w:ascii="宋体" w:hAnsi="宋体"/>
          <w:b/>
          <w:szCs w:val="21"/>
        </w:rPr>
      </w:pPr>
      <w:r>
        <w:rPr>
          <w:rFonts w:hint="eastAsia" w:ascii="宋体" w:hAnsi="宋体"/>
          <w:b/>
          <w:bCs/>
          <w:szCs w:val="21"/>
        </w:rPr>
        <w:t>18.</w:t>
      </w:r>
      <w:r>
        <w:rPr>
          <w:rFonts w:hint="eastAsia" w:ascii="宋体" w:hAnsi="宋体"/>
          <w:b/>
          <w:szCs w:val="21"/>
        </w:rPr>
        <w:t>通知</w:t>
      </w:r>
    </w:p>
    <w:p>
      <w:pPr>
        <w:pageBreakBefore w:val="0"/>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18.1本合同一方给另一方的通知均应采用书面形式，传真或快递送到本合同中规定的对方的地址和办理签收手续。</w:t>
      </w:r>
    </w:p>
    <w:p>
      <w:pPr>
        <w:pageBreakBefore w:val="0"/>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18.2通知以送到之日或通知书中规定的生效之日起生效，两者中以较迟之日为准。</w:t>
      </w:r>
    </w:p>
    <w:p>
      <w:pPr>
        <w:pageBreakBefore w:val="0"/>
        <w:kinsoku/>
        <w:wordWrap/>
        <w:overflowPunct/>
        <w:bidi w:val="0"/>
        <w:adjustRightInd w:val="0"/>
        <w:snapToGrid w:val="0"/>
        <w:spacing w:line="440" w:lineRule="exact"/>
        <w:ind w:firstLine="421" w:firstLineChars="200"/>
        <w:jc w:val="left"/>
        <w:rPr>
          <w:rFonts w:ascii="宋体" w:hAnsi="宋体"/>
          <w:b/>
          <w:bCs/>
          <w:szCs w:val="21"/>
        </w:rPr>
      </w:pPr>
      <w:r>
        <w:rPr>
          <w:rFonts w:hint="eastAsia" w:ascii="宋体" w:hAnsi="宋体"/>
          <w:b/>
          <w:bCs/>
          <w:szCs w:val="21"/>
        </w:rPr>
        <w:t>19. 合同未尽事项</w:t>
      </w:r>
    </w:p>
    <w:p>
      <w:pPr>
        <w:pageBreakBefore w:val="0"/>
        <w:kinsoku/>
        <w:wordWrap/>
        <w:overflowPunct/>
        <w:bidi w:val="0"/>
        <w:adjustRightInd w:val="0"/>
        <w:snapToGrid w:val="0"/>
        <w:spacing w:line="440" w:lineRule="exact"/>
        <w:ind w:firstLine="420" w:firstLineChars="200"/>
        <w:jc w:val="left"/>
        <w:rPr>
          <w:rFonts w:ascii="宋体" w:hAnsi="宋体"/>
          <w:bCs/>
          <w:szCs w:val="21"/>
        </w:rPr>
      </w:pPr>
      <w:r>
        <w:rPr>
          <w:rFonts w:hint="eastAsia" w:ascii="宋体" w:hAnsi="宋体"/>
          <w:bCs/>
          <w:szCs w:val="21"/>
        </w:rPr>
        <w:t>19.1合同未尽事项见</w:t>
      </w:r>
      <w:r>
        <w:rPr>
          <w:rFonts w:hint="eastAsia" w:ascii="宋体" w:hAnsi="宋体"/>
          <w:b/>
          <w:szCs w:val="21"/>
        </w:rPr>
        <w:t>【政府采购合同专用条款】。</w:t>
      </w:r>
    </w:p>
    <w:p>
      <w:pPr>
        <w:pageBreakBefore w:val="0"/>
        <w:kinsoku/>
        <w:wordWrap/>
        <w:overflowPunct/>
        <w:bidi w:val="0"/>
        <w:adjustRightInd w:val="0"/>
        <w:snapToGrid w:val="0"/>
        <w:spacing w:line="440" w:lineRule="exact"/>
        <w:ind w:firstLine="421" w:firstLineChars="200"/>
        <w:jc w:val="left"/>
        <w:rPr>
          <w:rFonts w:ascii="宋体" w:hAnsi="宋体"/>
          <w:b/>
          <w:bCs/>
          <w:szCs w:val="21"/>
        </w:rPr>
      </w:pPr>
      <w:r>
        <w:rPr>
          <w:rFonts w:hint="eastAsia" w:ascii="宋体" w:hAnsi="宋体"/>
          <w:b/>
          <w:bCs/>
          <w:szCs w:val="21"/>
        </w:rPr>
        <w:t>20.合同生效</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szCs w:val="21"/>
        </w:rPr>
        <w:t>20.1 本合同在合同双方签字盖章后生效。</w:t>
      </w:r>
    </w:p>
    <w:bookmarkEnd w:id="18"/>
    <w:p>
      <w:pPr>
        <w:pStyle w:val="14"/>
        <w:pageBreakBefore w:val="0"/>
        <w:kinsoku/>
        <w:wordWrap/>
        <w:overflowPunct/>
        <w:bidi w:val="0"/>
        <w:snapToGrid w:val="0"/>
        <w:spacing w:line="440" w:lineRule="exact"/>
        <w:ind w:left="105" w:leftChars="50"/>
        <w:jc w:val="center"/>
        <w:rPr>
          <w:rFonts w:ascii="黑体" w:hAnsi="黑体" w:eastAsia="黑体"/>
          <w:b/>
          <w:bCs/>
          <w:sz w:val="36"/>
          <w:szCs w:val="36"/>
        </w:rPr>
      </w:pPr>
    </w:p>
    <w:p>
      <w:pPr>
        <w:pStyle w:val="14"/>
        <w:pageBreakBefore w:val="0"/>
        <w:kinsoku/>
        <w:wordWrap/>
        <w:overflowPunct/>
        <w:bidi w:val="0"/>
        <w:snapToGrid w:val="0"/>
        <w:spacing w:line="440" w:lineRule="exact"/>
        <w:ind w:left="105" w:leftChars="50"/>
        <w:jc w:val="center"/>
        <w:rPr>
          <w:rFonts w:ascii="黑体" w:hAnsi="黑体" w:eastAsia="黑体"/>
          <w:b/>
          <w:bCs/>
          <w:sz w:val="36"/>
          <w:szCs w:val="36"/>
        </w:rPr>
      </w:pPr>
    </w:p>
    <w:p>
      <w:pPr>
        <w:pStyle w:val="15"/>
        <w:rPr>
          <w:rFonts w:ascii="黑体" w:hAnsi="黑体" w:eastAsia="黑体"/>
          <w:b/>
          <w:bCs/>
          <w:sz w:val="36"/>
          <w:szCs w:val="36"/>
        </w:rPr>
      </w:pPr>
    </w:p>
    <w:p>
      <w:pPr>
        <w:rPr>
          <w:rFonts w:ascii="黑体" w:hAnsi="黑体" w:eastAsia="黑体"/>
          <w:b/>
          <w:bCs/>
          <w:sz w:val="36"/>
          <w:szCs w:val="36"/>
        </w:rPr>
      </w:pPr>
    </w:p>
    <w:p>
      <w:pPr>
        <w:pStyle w:val="7"/>
      </w:pPr>
    </w:p>
    <w:p>
      <w:pPr>
        <w:pStyle w:val="14"/>
        <w:pageBreakBefore w:val="0"/>
        <w:kinsoku/>
        <w:wordWrap/>
        <w:overflowPunct/>
        <w:bidi w:val="0"/>
        <w:snapToGrid w:val="0"/>
        <w:spacing w:line="440" w:lineRule="exact"/>
        <w:ind w:left="105" w:leftChars="50"/>
        <w:jc w:val="center"/>
        <w:rPr>
          <w:rFonts w:ascii="黑体" w:hAnsi="黑体" w:eastAsia="黑体"/>
          <w:b/>
          <w:bCs/>
          <w:sz w:val="36"/>
          <w:szCs w:val="36"/>
        </w:rPr>
      </w:pPr>
    </w:p>
    <w:p>
      <w:pPr>
        <w:pageBreakBefore w:val="0"/>
        <w:tabs>
          <w:tab w:val="left" w:pos="8820"/>
          <w:tab w:val="left" w:pos="9345"/>
          <w:tab w:val="left" w:pos="9765"/>
        </w:tabs>
        <w:kinsoku/>
        <w:wordWrap/>
        <w:overflowPunct/>
        <w:bidi w:val="0"/>
        <w:adjustRightInd w:val="0"/>
        <w:snapToGrid w:val="0"/>
        <w:spacing w:before="120" w:beforeLines="50" w:line="440" w:lineRule="exact"/>
        <w:ind w:right="384" w:rightChars="183"/>
        <w:jc w:val="center"/>
        <w:rPr>
          <w:rFonts w:ascii="黑体" w:hAnsi="华文中宋" w:eastAsia="黑体"/>
          <w:b/>
          <w:bCs/>
          <w:sz w:val="24"/>
        </w:rPr>
      </w:pPr>
      <w:r>
        <w:rPr>
          <w:rFonts w:hint="eastAsia" w:ascii="宋体" w:hAnsi="宋体" w:cs="宋体"/>
          <w:b/>
          <w:sz w:val="32"/>
          <w:szCs w:val="32"/>
        </w:rPr>
        <w:t>三、政府采购合同专用条款</w:t>
      </w:r>
    </w:p>
    <w:tbl>
      <w:tblPr>
        <w:tblStyle w:val="31"/>
        <w:tblpPr w:leftFromText="180" w:rightFromText="180" w:vertAnchor="text" w:horzAnchor="page" w:tblpX="1554" w:tblpY="973"/>
        <w:tblOverlap w:val="never"/>
        <w:tblW w:w="0" w:type="auto"/>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943"/>
        <w:gridCol w:w="1840"/>
        <w:gridCol w:w="5250"/>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943" w:type="dxa"/>
            <w:tcBorders>
              <w:top w:val="double" w:color="auto" w:sz="2"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b/>
                <w:bCs/>
                <w:color w:val="000000" w:themeColor="text1"/>
                <w14:textFill>
                  <w14:solidFill>
                    <w14:schemeClr w14:val="tx1"/>
                  </w14:solidFill>
                </w14:textFill>
              </w:rPr>
              <w:t>条款号</w:t>
            </w:r>
          </w:p>
        </w:tc>
        <w:tc>
          <w:tcPr>
            <w:tcW w:w="1840" w:type="dxa"/>
            <w:tcBorders>
              <w:top w:val="double" w:color="auto" w:sz="2" w:space="0"/>
              <w:left w:val="single" w:color="auto" w:sz="6"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b/>
                <w:bCs/>
                <w:color w:val="000000" w:themeColor="text1"/>
                <w14:textFill>
                  <w14:solidFill>
                    <w14:schemeClr w14:val="tx1"/>
                  </w14:solidFill>
                </w14:textFill>
              </w:rPr>
              <w:t>条款名称</w:t>
            </w:r>
          </w:p>
        </w:tc>
        <w:tc>
          <w:tcPr>
            <w:tcW w:w="5250" w:type="dxa"/>
            <w:tcBorders>
              <w:top w:val="double" w:color="auto" w:sz="2" w:space="0"/>
              <w:left w:val="single" w:color="auto" w:sz="6" w:space="0"/>
              <w:bottom w:val="single" w:color="auto" w:sz="6" w:space="0"/>
              <w:right w:val="double" w:color="auto" w:sz="2"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b/>
                <w:bCs/>
                <w:color w:val="000000" w:themeColor="text1"/>
                <w14:textFill>
                  <w14:solidFill>
                    <w14:schemeClr w14:val="tx1"/>
                  </w14:solidFill>
                </w14:textFill>
              </w:rPr>
              <w:t>编列内容规定</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943" w:type="dxa"/>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第1.2（6）款</w:t>
            </w:r>
          </w:p>
        </w:tc>
        <w:tc>
          <w:tcPr>
            <w:tcW w:w="184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jc w:val="center"/>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项目现场</w:t>
            </w:r>
          </w:p>
        </w:tc>
        <w:tc>
          <w:tcPr>
            <w:tcW w:w="5250" w:type="dxa"/>
            <w:tcBorders>
              <w:top w:val="single" w:color="auto" w:sz="6" w:space="0"/>
              <w:left w:val="single" w:color="auto" w:sz="6" w:space="0"/>
              <w:bottom w:val="single" w:color="auto" w:sz="6" w:space="0"/>
              <w:right w:val="double" w:color="auto" w:sz="2"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szCs w:val="21"/>
                <w14:textFill>
                  <w14:solidFill>
                    <w14:schemeClr w14:val="tx1"/>
                  </w14:solidFill>
                </w14:textFill>
              </w:rPr>
              <w:t>采购人指定现场</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161" w:hRule="atLeast"/>
        </w:trPr>
        <w:tc>
          <w:tcPr>
            <w:tcW w:w="1943" w:type="dxa"/>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第5.1条</w:t>
            </w:r>
          </w:p>
        </w:tc>
        <w:tc>
          <w:tcPr>
            <w:tcW w:w="1840" w:type="dxa"/>
            <w:tcBorders>
              <w:top w:val="single" w:color="auto" w:sz="6" w:space="0"/>
              <w:left w:val="single" w:color="auto" w:sz="6" w:space="0"/>
              <w:bottom w:val="single" w:color="auto" w:sz="6" w:space="0"/>
              <w:right w:val="single" w:color="auto" w:sz="6" w:space="0"/>
            </w:tcBorders>
            <w:vAlign w:val="center"/>
          </w:tcPr>
          <w:p>
            <w:pPr>
              <w:pStyle w:val="6"/>
              <w:pageBreakBefore w:val="0"/>
              <w:kinsoku/>
              <w:wordWrap/>
              <w:overflowPunct/>
              <w:bidi w:val="0"/>
              <w:spacing w:line="440" w:lineRule="exact"/>
              <w:rPr>
                <w:rFonts w:ascii="黑体" w:hAnsi="宋体" w:eastAsia="黑体"/>
                <w:b/>
                <w:bCs/>
                <w:color w:val="000000" w:themeColor="text1"/>
                <w:sz w:val="30"/>
                <w:szCs w:val="30"/>
                <w14:textFill>
                  <w14:solidFill>
                    <w14:schemeClr w14:val="tx1"/>
                  </w14:solidFill>
                </w14:textFill>
              </w:rPr>
            </w:pPr>
            <w:r>
              <w:rPr>
                <w:rFonts w:hint="eastAsia"/>
                <w:color w:val="000000" w:themeColor="text1"/>
                <w14:textFill>
                  <w14:solidFill>
                    <w14:schemeClr w14:val="tx1"/>
                  </w14:solidFill>
                </w14:textFill>
              </w:rPr>
              <w:t>履行合同的时间</w:t>
            </w:r>
            <w:r>
              <w:rPr>
                <w:rFonts w:hint="eastAsia" w:ascii="宋体" w:hAnsi="宋体"/>
                <w:color w:val="000000" w:themeColor="text1"/>
                <w14:textFill>
                  <w14:solidFill>
                    <w14:schemeClr w14:val="tx1"/>
                  </w14:solidFill>
                </w14:textFill>
              </w:rPr>
              <w:t>、地点及方式</w:t>
            </w:r>
          </w:p>
        </w:tc>
        <w:tc>
          <w:tcPr>
            <w:tcW w:w="5250" w:type="dxa"/>
            <w:tcBorders>
              <w:top w:val="single" w:color="auto" w:sz="6" w:space="0"/>
              <w:left w:val="single" w:color="auto" w:sz="6" w:space="0"/>
              <w:bottom w:val="single" w:color="auto" w:sz="6" w:space="0"/>
              <w:right w:val="double" w:color="auto" w:sz="2" w:space="0"/>
            </w:tcBorders>
            <w:vAlign w:val="center"/>
          </w:tcPr>
          <w:p>
            <w:pPr>
              <w:pStyle w:val="83"/>
              <w:pageBreakBefore w:val="0"/>
              <w:kinsoku/>
              <w:wordWrap/>
              <w:overflowPunct/>
              <w:bidi w:val="0"/>
              <w:spacing w:before="120" w:beforeLines="50" w:after="120" w:afterLines="50" w:line="440" w:lineRule="exact"/>
              <w:ind w:left="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履行合同时间：详见采购需求；</w:t>
            </w:r>
          </w:p>
          <w:p>
            <w:pPr>
              <w:pStyle w:val="83"/>
              <w:pageBreakBefore w:val="0"/>
              <w:kinsoku/>
              <w:wordWrap/>
              <w:overflowPunct/>
              <w:bidi w:val="0"/>
              <w:spacing w:before="120" w:beforeLines="50" w:after="120" w:afterLines="50" w:line="440" w:lineRule="exact"/>
              <w:ind w:left="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履行合同及服务地点：采购人指定地点；</w:t>
            </w:r>
          </w:p>
          <w:p>
            <w:pPr>
              <w:pStyle w:val="83"/>
              <w:pageBreakBefore w:val="0"/>
              <w:kinsoku/>
              <w:wordWrap/>
              <w:overflowPunct/>
              <w:bidi w:val="0"/>
              <w:spacing w:before="120" w:beforeLines="50" w:after="120" w:afterLines="50" w:line="440" w:lineRule="exact"/>
              <w:ind w:left="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履行合同方式：</w:t>
            </w:r>
            <w:r>
              <w:rPr>
                <w:rFonts w:hint="eastAsia" w:ascii="宋体" w:hAnsi="宋体"/>
                <w:color w:val="000000" w:themeColor="text1"/>
                <w:szCs w:val="21"/>
                <w14:textFill>
                  <w14:solidFill>
                    <w14:schemeClr w14:val="tx1"/>
                  </w14:solidFill>
                </w14:textFill>
              </w:rPr>
              <w:t>现场服务；</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943" w:type="dxa"/>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第9.2(3) 款</w:t>
            </w:r>
          </w:p>
        </w:tc>
        <w:tc>
          <w:tcPr>
            <w:tcW w:w="184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jc w:val="center"/>
              <w:rPr>
                <w:rFonts w:ascii="宋体" w:hAnsi="宋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响应时间</w:t>
            </w:r>
          </w:p>
        </w:tc>
        <w:tc>
          <w:tcPr>
            <w:tcW w:w="5250" w:type="dxa"/>
            <w:tcBorders>
              <w:top w:val="single" w:color="auto" w:sz="6" w:space="0"/>
              <w:left w:val="single" w:color="auto" w:sz="6" w:space="0"/>
              <w:bottom w:val="single" w:color="auto" w:sz="6" w:space="0"/>
              <w:right w:val="double" w:color="auto" w:sz="2" w:space="0"/>
            </w:tcBorders>
            <w:vAlign w:val="center"/>
          </w:tcPr>
          <w:p>
            <w:pPr>
              <w:pStyle w:val="6"/>
              <w:pageBreakBefore w:val="0"/>
              <w:kinsoku/>
              <w:wordWrap/>
              <w:overflowPunct/>
              <w:bidi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7×24小时</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926" w:hRule="atLeast"/>
        </w:trPr>
        <w:tc>
          <w:tcPr>
            <w:tcW w:w="1943" w:type="dxa"/>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第13.5条</w:t>
            </w:r>
          </w:p>
        </w:tc>
        <w:tc>
          <w:tcPr>
            <w:tcW w:w="1840" w:type="dxa"/>
            <w:tcBorders>
              <w:top w:val="single" w:color="auto" w:sz="6" w:space="0"/>
              <w:left w:val="single" w:color="auto" w:sz="6" w:space="0"/>
              <w:bottom w:val="single" w:color="auto" w:sz="6" w:space="0"/>
              <w:right w:val="single" w:color="auto" w:sz="6" w:space="0"/>
            </w:tcBorders>
            <w:vAlign w:val="center"/>
          </w:tcPr>
          <w:p>
            <w:pPr>
              <w:pStyle w:val="6"/>
              <w:pageBreakBefore w:val="0"/>
              <w:kinsoku/>
              <w:wordWrap/>
              <w:overflowPunct/>
              <w:bidi w:val="0"/>
              <w:spacing w:line="4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合同价款支付方式和条件</w:t>
            </w:r>
          </w:p>
        </w:tc>
        <w:tc>
          <w:tcPr>
            <w:tcW w:w="5250" w:type="dxa"/>
            <w:tcBorders>
              <w:top w:val="single" w:color="auto" w:sz="6" w:space="0"/>
              <w:left w:val="single" w:color="auto" w:sz="6" w:space="0"/>
              <w:bottom w:val="single" w:color="auto" w:sz="6" w:space="0"/>
              <w:right w:val="double" w:color="auto" w:sz="2" w:space="0"/>
            </w:tcBorders>
            <w:vAlign w:val="center"/>
          </w:tcPr>
          <w:p>
            <w:pPr>
              <w:pStyle w:val="6"/>
              <w:pageBreakBefore w:val="0"/>
              <w:kinsoku/>
              <w:wordWrap/>
              <w:overflowPunct/>
              <w:bidi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付款人：</w:t>
            </w:r>
            <w:r>
              <w:rPr>
                <w:rFonts w:hint="eastAsia" w:asciiTheme="minorEastAsia" w:hAnsiTheme="minorEastAsia" w:eastAsiaTheme="minorEastAsia" w:cstheme="minorEastAsia"/>
                <w:lang w:eastAsia="zh-CN"/>
              </w:rPr>
              <w:t>湖南省</w:t>
            </w:r>
            <w:r>
              <w:rPr>
                <w:rFonts w:hint="eastAsia" w:asciiTheme="minorEastAsia" w:hAnsiTheme="minorEastAsia" w:eastAsiaTheme="minorEastAsia" w:cstheme="minorEastAsia"/>
                <w:lang w:val="en-US" w:eastAsia="zh-CN"/>
              </w:rPr>
              <w:t>科</w:t>
            </w:r>
            <w:r>
              <w:rPr>
                <w:rFonts w:hint="eastAsia" w:asciiTheme="minorEastAsia" w:hAnsiTheme="minorEastAsia" w:eastAsiaTheme="minorEastAsia" w:cstheme="minorEastAsia"/>
                <w:lang w:eastAsia="zh-CN"/>
              </w:rPr>
              <w:t>技厅</w:t>
            </w:r>
            <w:r>
              <w:rPr>
                <w:rFonts w:hint="eastAsia" w:ascii="宋体" w:hAnsi="宋体"/>
                <w:color w:val="000000" w:themeColor="text1"/>
                <w14:textFill>
                  <w14:solidFill>
                    <w14:schemeClr w14:val="tx1"/>
                  </w14:solidFill>
                </w14:textFill>
              </w:rPr>
              <w:t>；</w:t>
            </w:r>
          </w:p>
          <w:p>
            <w:pPr>
              <w:pStyle w:val="6"/>
              <w:pageBreakBefore w:val="0"/>
              <w:kinsoku/>
              <w:wordWrap/>
              <w:overflowPunct/>
              <w:bidi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付款方式：详见“第四章 采购需求”；</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1943" w:type="dxa"/>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第14.2(6) 款</w:t>
            </w:r>
          </w:p>
        </w:tc>
        <w:tc>
          <w:tcPr>
            <w:tcW w:w="1840" w:type="dxa"/>
            <w:tcBorders>
              <w:top w:val="single" w:color="auto" w:sz="6" w:space="0"/>
              <w:left w:val="single" w:color="auto" w:sz="6" w:space="0"/>
              <w:bottom w:val="single" w:color="auto" w:sz="6" w:space="0"/>
              <w:right w:val="single" w:color="auto" w:sz="6" w:space="0"/>
            </w:tcBorders>
            <w:vAlign w:val="center"/>
          </w:tcPr>
          <w:p>
            <w:pPr>
              <w:pStyle w:val="6"/>
              <w:pageBreakBefore w:val="0"/>
              <w:kinsoku/>
              <w:wordWrap/>
              <w:overflowPunct/>
              <w:bidi w:val="0"/>
              <w:spacing w:line="4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伴随服务</w:t>
            </w:r>
          </w:p>
        </w:tc>
        <w:tc>
          <w:tcPr>
            <w:tcW w:w="5250" w:type="dxa"/>
            <w:tcBorders>
              <w:top w:val="single" w:color="auto" w:sz="6" w:space="0"/>
              <w:left w:val="single" w:color="auto" w:sz="6" w:space="0"/>
              <w:bottom w:val="single" w:color="auto" w:sz="6" w:space="0"/>
              <w:right w:val="double" w:color="auto" w:sz="2" w:space="0"/>
            </w:tcBorders>
            <w:vAlign w:val="center"/>
          </w:tcPr>
          <w:p>
            <w:pPr>
              <w:pStyle w:val="6"/>
              <w:pageBreakBefore w:val="0"/>
              <w:kinsoku/>
              <w:wordWrap/>
              <w:overflowPunct/>
              <w:bidi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详见“第四章 采购需求”；</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943" w:type="dxa"/>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第20.2条</w:t>
            </w:r>
          </w:p>
        </w:tc>
        <w:tc>
          <w:tcPr>
            <w:tcW w:w="1840" w:type="dxa"/>
            <w:tcBorders>
              <w:top w:val="single" w:color="auto" w:sz="6" w:space="0"/>
              <w:left w:val="single" w:color="auto" w:sz="6" w:space="0"/>
              <w:bottom w:val="single" w:color="auto" w:sz="6" w:space="0"/>
              <w:right w:val="single" w:color="auto" w:sz="6" w:space="0"/>
            </w:tcBorders>
            <w:vAlign w:val="center"/>
          </w:tcPr>
          <w:p>
            <w:pPr>
              <w:pStyle w:val="6"/>
              <w:pageBreakBefore w:val="0"/>
              <w:kinsoku/>
              <w:wordWrap/>
              <w:overflowPunct/>
              <w:bidi w:val="0"/>
              <w:spacing w:line="440" w:lineRule="exact"/>
              <w:jc w:val="center"/>
              <w:rPr>
                <w:rFonts w:ascii="宋体" w:hAnsi="宋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解决争议的方式</w:t>
            </w:r>
          </w:p>
        </w:tc>
        <w:tc>
          <w:tcPr>
            <w:tcW w:w="5250" w:type="dxa"/>
            <w:tcBorders>
              <w:top w:val="single" w:color="auto" w:sz="6" w:space="0"/>
              <w:left w:val="single" w:color="auto" w:sz="6" w:space="0"/>
              <w:bottom w:val="single" w:color="auto" w:sz="6" w:space="0"/>
              <w:right w:val="double" w:color="auto" w:sz="2" w:space="0"/>
            </w:tcBorders>
            <w:vAlign w:val="center"/>
          </w:tcPr>
          <w:p>
            <w:pPr>
              <w:pageBreakBefore w:val="0"/>
              <w:kinsoku/>
              <w:wordWrap/>
              <w:overflowPunct/>
              <w:bidi w:val="0"/>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☑诉讼</w:t>
            </w:r>
          </w:p>
          <w:p>
            <w:pPr>
              <w:pageBreakBefore w:val="0"/>
              <w:kinsoku/>
              <w:wordWrap/>
              <w:overflowPunct/>
              <w:bidi w:val="0"/>
              <w:adjustRightInd w:val="0"/>
              <w:snapToGrid w:val="0"/>
              <w:spacing w:line="440" w:lineRule="exact"/>
              <w:rPr>
                <w:rFonts w:ascii="宋体" w:hAnsi="宋体"/>
                <w:b/>
                <w:bCs/>
                <w:color w:val="000000" w:themeColor="text1"/>
                <w:sz w:val="30"/>
                <w:szCs w:val="30"/>
                <w14:textFill>
                  <w14:solidFill>
                    <w14:schemeClr w14:val="tx1"/>
                  </w14:solidFill>
                </w14:textFill>
              </w:rPr>
            </w:pPr>
            <w:r>
              <w:rPr>
                <w:rFonts w:hint="eastAsia"/>
                <w:color w:val="000000" w:themeColor="text1"/>
                <w14:textFill>
                  <w14:solidFill>
                    <w14:schemeClr w14:val="tx1"/>
                  </w14:solidFill>
                </w14:textFill>
              </w:rPr>
              <w:t>□仲裁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943" w:type="dxa"/>
            <w:tcBorders>
              <w:top w:val="single" w:color="auto" w:sz="6" w:space="0"/>
              <w:left w:val="double" w:color="auto" w:sz="2" w:space="0"/>
              <w:bottom w:val="double" w:color="auto" w:sz="2"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第24.1条</w:t>
            </w:r>
          </w:p>
        </w:tc>
        <w:tc>
          <w:tcPr>
            <w:tcW w:w="1840" w:type="dxa"/>
            <w:tcBorders>
              <w:top w:val="single" w:color="auto" w:sz="6" w:space="0"/>
              <w:left w:val="single" w:color="auto" w:sz="6" w:space="0"/>
              <w:bottom w:val="double" w:color="auto" w:sz="2" w:space="0"/>
              <w:right w:val="single" w:color="auto" w:sz="6" w:space="0"/>
            </w:tcBorders>
            <w:vAlign w:val="center"/>
          </w:tcPr>
          <w:p>
            <w:pPr>
              <w:pageBreakBefore w:val="0"/>
              <w:kinsoku/>
              <w:wordWrap/>
              <w:overflowPunct/>
              <w:bidi w:val="0"/>
              <w:adjustRightInd w:val="0"/>
              <w:snapToGrid w:val="0"/>
              <w:spacing w:line="440" w:lineRule="exact"/>
              <w:jc w:val="center"/>
              <w:rPr>
                <w:rFonts w:ascii="宋体" w:hAnsi="宋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合同未尽事项</w:t>
            </w:r>
          </w:p>
        </w:tc>
        <w:tc>
          <w:tcPr>
            <w:tcW w:w="5250" w:type="dxa"/>
            <w:tcBorders>
              <w:top w:val="single" w:color="auto" w:sz="6" w:space="0"/>
              <w:left w:val="single" w:color="auto" w:sz="6" w:space="0"/>
              <w:bottom w:val="double" w:color="auto" w:sz="2" w:space="0"/>
              <w:right w:val="double" w:color="auto" w:sz="2" w:space="0"/>
            </w:tcBorders>
            <w:vAlign w:val="center"/>
          </w:tcPr>
          <w:p>
            <w:pPr>
              <w:pageBreakBefore w:val="0"/>
              <w:kinsoku/>
              <w:wordWrap/>
              <w:overflowPunct/>
              <w:bidi w:val="0"/>
              <w:adjustRightInd w:val="0"/>
              <w:snapToGrid w:val="0"/>
              <w:spacing w:line="440" w:lineRule="exact"/>
              <w:rPr>
                <w:rFonts w:ascii="宋体" w:hAnsi="宋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协商解决</w:t>
            </w:r>
          </w:p>
        </w:tc>
      </w:tr>
    </w:tbl>
    <w:p>
      <w:pPr>
        <w:pageBreakBefore w:val="0"/>
        <w:kinsoku/>
        <w:wordWrap/>
        <w:overflowPunct/>
        <w:bidi w:val="0"/>
        <w:spacing w:line="440" w:lineRule="exact"/>
      </w:pPr>
    </w:p>
    <w:p>
      <w:pPr>
        <w:pageBreakBefore w:val="0"/>
        <w:kinsoku/>
        <w:wordWrap/>
        <w:overflowPunct/>
        <w:bidi w:val="0"/>
        <w:spacing w:line="440" w:lineRule="exact"/>
      </w:pPr>
    </w:p>
    <w:p>
      <w:pPr>
        <w:pageBreakBefore w:val="0"/>
        <w:kinsoku/>
        <w:wordWrap/>
        <w:overflowPunct/>
        <w:bidi w:val="0"/>
        <w:spacing w:line="440" w:lineRule="exact"/>
        <w:sectPr>
          <w:pgSz w:w="11906" w:h="16838"/>
          <w:pgMar w:top="1134" w:right="1134" w:bottom="1134" w:left="1134" w:header="510" w:footer="624" w:gutter="0"/>
          <w:cols w:space="720" w:num="1"/>
          <w:docGrid w:linePitch="312" w:charSpace="0"/>
        </w:sectPr>
      </w:pPr>
    </w:p>
    <w:p>
      <w:pPr>
        <w:pageBreakBefore w:val="0"/>
        <w:tabs>
          <w:tab w:val="left" w:pos="8820"/>
          <w:tab w:val="left" w:pos="9345"/>
          <w:tab w:val="left" w:pos="9765"/>
        </w:tabs>
        <w:kinsoku/>
        <w:wordWrap/>
        <w:overflowPunct/>
        <w:bidi w:val="0"/>
        <w:adjustRightInd w:val="0"/>
        <w:snapToGrid w:val="0"/>
        <w:spacing w:before="120" w:beforeLines="50" w:line="440" w:lineRule="exact"/>
        <w:ind w:right="384" w:rightChars="183"/>
        <w:jc w:val="center"/>
        <w:rPr>
          <w:rFonts w:ascii="宋体" w:hAnsi="宋体" w:cs="宋体"/>
          <w:b/>
          <w:sz w:val="32"/>
          <w:szCs w:val="32"/>
        </w:rPr>
      </w:pPr>
      <w:bookmarkStart w:id="19" w:name="_Toc423010625"/>
      <w:bookmarkStart w:id="20" w:name="_Toc24142"/>
      <w:bookmarkStart w:id="21" w:name="_Toc472022200"/>
      <w:bookmarkStart w:id="22" w:name="_Toc439164989"/>
      <w:r>
        <w:rPr>
          <w:rFonts w:hint="eastAsia" w:ascii="宋体" w:hAnsi="宋体" w:cs="宋体"/>
          <w:b/>
          <w:sz w:val="32"/>
          <w:szCs w:val="32"/>
        </w:rPr>
        <w:t>第四章 采购需求</w:t>
      </w:r>
      <w:bookmarkEnd w:id="19"/>
      <w:bookmarkEnd w:id="20"/>
      <w:bookmarkEnd w:id="21"/>
    </w:p>
    <w:bookmarkEnd w:id="22"/>
    <w:p>
      <w:pPr>
        <w:pStyle w:val="81"/>
        <w:keepNext w:val="0"/>
        <w:keepLines w:val="0"/>
        <w:pageBreakBefore w:val="0"/>
        <w:widowControl w:val="0"/>
        <w:numPr>
          <w:ilvl w:val="0"/>
          <w:numId w:val="7"/>
        </w:numPr>
        <w:kinsoku/>
        <w:wordWrap/>
        <w:overflowPunct/>
        <w:topLinePunct w:val="0"/>
        <w:autoSpaceDE/>
        <w:autoSpaceDN/>
        <w:bidi w:val="0"/>
        <w:adjustRightInd/>
        <w:snapToGrid/>
        <w:spacing w:before="120" w:beforeLines="50" w:line="440" w:lineRule="exact"/>
        <w:ind w:firstLine="421" w:firstLineChars="200"/>
        <w:textAlignment w:val="auto"/>
        <w:rPr>
          <w:rFonts w:hint="eastAsia" w:ascii="宋体" w:hAnsi="宋体" w:eastAsia="宋体" w:cs="Times New Roman"/>
          <w:b/>
          <w:bCs/>
          <w:color w:val="000000" w:themeColor="text1"/>
          <w:spacing w:val="0"/>
          <w:kern w:val="2"/>
          <w:sz w:val="21"/>
          <w:szCs w:val="24"/>
          <w:lang w:val="en-US" w:eastAsia="zh-CN" w:bidi="ar-SA"/>
          <w14:textFill>
            <w14:solidFill>
              <w14:schemeClr w14:val="tx1"/>
            </w14:solidFill>
          </w14:textFill>
        </w:rPr>
      </w:pPr>
      <w:bookmarkStart w:id="23" w:name="_Toc20406"/>
      <w:bookmarkStart w:id="24" w:name="_Toc489882268"/>
      <w:bookmarkStart w:id="25" w:name="_Toc5019"/>
      <w:r>
        <w:rPr>
          <w:rFonts w:hint="eastAsia" w:ascii="宋体" w:hAnsi="宋体" w:eastAsia="宋体" w:cs="Times New Roman"/>
          <w:b/>
          <w:bCs/>
          <w:color w:val="000000" w:themeColor="text1"/>
          <w:spacing w:val="0"/>
          <w:kern w:val="2"/>
          <w:sz w:val="21"/>
          <w:szCs w:val="24"/>
          <w:lang w:val="en-US" w:eastAsia="zh-CN" w:bidi="ar-SA"/>
          <w14:textFill>
            <w14:solidFill>
              <w14:schemeClr w14:val="tx1"/>
            </w14:solidFill>
          </w14:textFill>
        </w:rPr>
        <w:t>项目名称</w:t>
      </w:r>
    </w:p>
    <w:p>
      <w:pPr>
        <w:pStyle w:val="81"/>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000000" w:themeColor="text1"/>
          <w:spacing w:val="0"/>
          <w:kern w:val="2"/>
          <w:sz w:val="21"/>
          <w:szCs w:val="24"/>
          <w:lang w:val="en-US" w:eastAsia="zh-CN" w:bidi="ar-SA"/>
          <w14:textFill>
            <w14:solidFill>
              <w14:schemeClr w14:val="tx1"/>
            </w14:solidFill>
          </w14:textFill>
        </w:rPr>
      </w:pPr>
      <w:r>
        <w:rPr>
          <w:rFonts w:hint="eastAsia" w:ascii="宋体" w:hAnsi="宋体" w:eastAsia="宋体" w:cs="Times New Roman"/>
          <w:color w:val="000000" w:themeColor="text1"/>
          <w:spacing w:val="0"/>
          <w:kern w:val="2"/>
          <w:sz w:val="21"/>
          <w:szCs w:val="24"/>
          <w:lang w:val="en-US" w:eastAsia="zh-CN" w:bidi="ar-SA"/>
          <w14:textFill>
            <w14:solidFill>
              <w14:schemeClr w14:val="tx1"/>
            </w14:solidFill>
          </w14:textFill>
        </w:rPr>
        <w:t>项目名称：</w:t>
      </w:r>
      <w:r>
        <w:rPr>
          <w:rFonts w:hint="eastAsia" w:ascii="宋体" w:hAnsi="宋体" w:cs="Times New Roman"/>
          <w:color w:val="000000" w:themeColor="text1"/>
          <w:spacing w:val="0"/>
          <w:kern w:val="2"/>
          <w:sz w:val="21"/>
          <w:szCs w:val="24"/>
          <w:lang w:val="en-US" w:eastAsia="zh-CN" w:bidi="ar-SA"/>
          <w14:textFill>
            <w14:solidFill>
              <w14:schemeClr w14:val="tx1"/>
            </w14:solidFill>
          </w14:textFill>
        </w:rPr>
        <w:t>《习近平总书记考察湖南三周年特别宣传策划》</w:t>
      </w:r>
    </w:p>
    <w:p>
      <w:pPr>
        <w:pStyle w:val="81"/>
        <w:keepNext w:val="0"/>
        <w:keepLines w:val="0"/>
        <w:pageBreakBefore w:val="0"/>
        <w:widowControl w:val="0"/>
        <w:kinsoku/>
        <w:wordWrap/>
        <w:overflowPunct/>
        <w:topLinePunct w:val="0"/>
        <w:autoSpaceDE/>
        <w:autoSpaceDN/>
        <w:bidi w:val="0"/>
        <w:adjustRightInd/>
        <w:snapToGrid/>
        <w:spacing w:line="440" w:lineRule="exact"/>
        <w:ind w:left="0" w:leftChars="0" w:firstLine="421" w:firstLineChars="200"/>
        <w:textAlignment w:val="auto"/>
        <w:rPr>
          <w:rFonts w:hint="default" w:ascii="宋体" w:hAnsi="宋体" w:eastAsia="宋体" w:cs="Times New Roman"/>
          <w:b/>
          <w:bCs/>
          <w:color w:val="000000" w:themeColor="text1"/>
          <w:spacing w:val="0"/>
          <w:kern w:val="2"/>
          <w:sz w:val="21"/>
          <w:szCs w:val="24"/>
          <w:lang w:val="en-US" w:eastAsia="zh-CN" w:bidi="ar-SA"/>
          <w14:textFill>
            <w14:solidFill>
              <w14:schemeClr w14:val="tx1"/>
            </w14:solidFill>
          </w14:textFill>
        </w:rPr>
      </w:pPr>
      <w:r>
        <w:rPr>
          <w:rFonts w:hint="eastAsia" w:ascii="宋体" w:hAnsi="宋体" w:eastAsia="宋体" w:cs="Times New Roman"/>
          <w:b/>
          <w:bCs/>
          <w:color w:val="000000" w:themeColor="text1"/>
          <w:spacing w:val="0"/>
          <w:kern w:val="2"/>
          <w:sz w:val="21"/>
          <w:szCs w:val="24"/>
          <w:lang w:val="en-US" w:eastAsia="zh-CN" w:bidi="ar-SA"/>
          <w14:textFill>
            <w14:solidFill>
              <w14:schemeClr w14:val="tx1"/>
            </w14:solidFill>
          </w14:textFill>
        </w:rPr>
        <w:t>二、项目</w:t>
      </w:r>
      <w:r>
        <w:rPr>
          <w:rFonts w:hint="eastAsia" w:ascii="宋体" w:hAnsi="宋体" w:cs="Times New Roman"/>
          <w:b/>
          <w:bCs/>
          <w:color w:val="000000" w:themeColor="text1"/>
          <w:spacing w:val="0"/>
          <w:kern w:val="2"/>
          <w:sz w:val="21"/>
          <w:szCs w:val="24"/>
          <w:lang w:val="en-US" w:eastAsia="zh-CN" w:bidi="ar-SA"/>
          <w14:textFill>
            <w14:solidFill>
              <w14:schemeClr w14:val="tx1"/>
            </w14:solidFill>
          </w14:textFill>
        </w:rPr>
        <w:t>背景</w:t>
      </w:r>
    </w:p>
    <w:bookmarkEnd w:id="23"/>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default"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今年是习近平总书记对湖南提出打造具有核心竞争力的创新高地三周年宣传工作，更好呈现湖南科技答卷，树立湖南科技品牌，展示湖南科技成果，彰显湖南科技特色，积极营造更有利的社会舆论氛围助推打好科技创新攻坚仗，激励广大科技工作者把创新论文写在三湘大地上，为实现“三高四新”美好蓝图作出更大贡献，现就打造具有核心竞争力的科技创新高地三周年特别宣传报道。</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5" w:firstLineChars="200"/>
        <w:textAlignment w:val="auto"/>
        <w:rPr>
          <w:rFonts w:hint="eastAsia" w:ascii="宋体" w:hAnsi="宋体"/>
          <w:b/>
          <w:bCs/>
          <w:sz w:val="21"/>
          <w:szCs w:val="21"/>
          <w:lang w:val="en-US" w:eastAsia="zh-CN"/>
        </w:rPr>
      </w:pPr>
      <w:r>
        <w:rPr>
          <w:rFonts w:hint="eastAsia" w:ascii="宋体" w:hAnsi="宋体"/>
          <w:b/>
          <w:bCs/>
          <w:sz w:val="21"/>
          <w:szCs w:val="21"/>
          <w:lang w:val="en-US" w:eastAsia="zh-CN"/>
        </w:rPr>
        <w:t>三、项目内容</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1、拍摄制作“科技湘军”系列专题片</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以“科技湘军”为主题，拍摄制作系列专题片，讲述湖南科技工作者积极投身科技强国建设伟大事业，为实现高水平科技自立自强接续奋斗的动人故事。</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2、制作湖南科技成果展示片</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专题拍摄成果展示片，围绕湖南三年来聚力攻关关键核心技术，奋力抢占技术制高点，展现湖南科技硬实力。</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3、制作“4+4科创工程”专题片</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围绕“4+4科创工程”的建设意义、创新理念和前沿技术、应用前景等，拍摄制作专题片，全方位呈现“4+4科创工程”这一新型举国体制湖南模式的亮点特色，为“4+4科创工程”建设和科研营造良好舆论氛围。</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4、制作科技工作者系列短视频</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cs="黑体"/>
          <w:b/>
          <w:szCs w:val="21"/>
        </w:rPr>
      </w:pPr>
      <w:r>
        <w:rPr>
          <w:rFonts w:hint="eastAsia" w:ascii="宋体" w:hAnsi="宋体"/>
          <w:b w:val="0"/>
          <w:bCs w:val="0"/>
          <w:sz w:val="21"/>
          <w:szCs w:val="21"/>
          <w:lang w:val="en-US" w:eastAsia="zh-CN"/>
        </w:rPr>
        <w:t>组织不同层次、不同领域科技工作者进行拍摄，展示科技湘军勇于担当、乐于吃苦、善于攻坚的良好形象，展现湖南科技战线奋力打造具有核心竞争力的科技创新高地的决心意志。</w:t>
      </w:r>
    </w:p>
    <w:p>
      <w:pPr>
        <w:pStyle w:val="81"/>
        <w:keepNext w:val="0"/>
        <w:keepLines w:val="0"/>
        <w:pageBreakBefore w:val="0"/>
        <w:widowControl w:val="0"/>
        <w:numPr>
          <w:ilvl w:val="0"/>
          <w:numId w:val="8"/>
        </w:numPr>
        <w:kinsoku/>
        <w:wordWrap/>
        <w:overflowPunct/>
        <w:topLinePunct w:val="0"/>
        <w:autoSpaceDE/>
        <w:autoSpaceDN/>
        <w:bidi w:val="0"/>
        <w:adjustRightInd/>
        <w:snapToGrid/>
        <w:spacing w:before="120" w:beforeLines="50" w:line="460" w:lineRule="exact"/>
        <w:textAlignment w:val="auto"/>
        <w:rPr>
          <w:rFonts w:hint="eastAsia" w:ascii="宋体" w:hAnsi="宋体"/>
          <w:b/>
          <w:bCs/>
          <w:sz w:val="21"/>
          <w:szCs w:val="21"/>
          <w:lang w:val="en-US" w:eastAsia="zh-CN"/>
        </w:rPr>
      </w:pPr>
      <w:r>
        <w:rPr>
          <w:rFonts w:hint="eastAsia" w:ascii="宋体" w:hAnsi="宋体"/>
          <w:b/>
          <w:bCs/>
          <w:sz w:val="21"/>
          <w:szCs w:val="21"/>
          <w:lang w:val="en-US" w:eastAsia="zh-CN"/>
        </w:rPr>
        <w:t>项目要求</w:t>
      </w:r>
    </w:p>
    <w:p>
      <w:pPr>
        <w:pStyle w:val="8"/>
        <w:pageBreakBefore w:val="0"/>
        <w:widowControl w:val="0"/>
        <w:numPr>
          <w:ilvl w:val="0"/>
          <w:numId w:val="9"/>
        </w:numPr>
        <w:kinsoku/>
        <w:wordWrap/>
        <w:overflowPunct/>
        <w:topLinePunct w:val="0"/>
        <w:autoSpaceDE/>
        <w:autoSpaceDN/>
        <w:bidi w:val="0"/>
        <w:adjustRightInd/>
        <w:snapToGrid/>
        <w:spacing w:line="460" w:lineRule="exact"/>
        <w:ind w:firstLine="445" w:firstLineChars="200"/>
        <w:textAlignment w:val="auto"/>
        <w:rPr>
          <w:rFonts w:hint="eastAsia" w:ascii="宋体" w:hAnsi="宋体" w:eastAsia="宋体" w:cs="Times New Roman"/>
          <w:b/>
          <w:bCs/>
          <w:spacing w:val="6"/>
          <w:kern w:val="2"/>
          <w:sz w:val="21"/>
          <w:szCs w:val="21"/>
          <w:lang w:val="en-US" w:eastAsia="zh-CN" w:bidi="ar-SA"/>
        </w:rPr>
      </w:pPr>
      <w:r>
        <w:rPr>
          <w:rFonts w:hint="eastAsia" w:ascii="宋体" w:hAnsi="宋体" w:eastAsia="宋体" w:cs="Times New Roman"/>
          <w:b/>
          <w:bCs/>
          <w:spacing w:val="6"/>
          <w:kern w:val="2"/>
          <w:sz w:val="21"/>
          <w:szCs w:val="21"/>
          <w:lang w:val="en-US" w:eastAsia="zh-CN" w:bidi="ar-SA"/>
        </w:rPr>
        <w:t>承担宣传片文案、创意、拍摄、后期制作、调色、音乐制作、成片输出等全部服务。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2、</w:t>
      </w:r>
      <w:r>
        <w:rPr>
          <w:rFonts w:hint="eastAsia" w:ascii="宋体" w:hAnsi="宋体" w:eastAsia="宋体" w:cs="Times New Roman"/>
          <w:b w:val="0"/>
          <w:bCs w:val="0"/>
          <w:spacing w:val="6"/>
          <w:kern w:val="2"/>
          <w:sz w:val="21"/>
          <w:szCs w:val="21"/>
          <w:lang w:val="en-US" w:eastAsia="zh-CN" w:bidi="ar-SA"/>
        </w:rPr>
        <w:t>各子项内容视频时长（均以实际审片为准）：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eastAsia="宋体" w:cs="Times New Roman"/>
          <w:b w:val="0"/>
          <w:bCs w:val="0"/>
          <w:spacing w:val="6"/>
          <w:kern w:val="2"/>
          <w:sz w:val="21"/>
          <w:szCs w:val="21"/>
          <w:lang w:val="en-US" w:eastAsia="zh-CN" w:bidi="ar-SA"/>
        </w:rPr>
        <w:t xml:space="preserve">    （1）“科技湘军”系列专题片预计6期，每期时长15分钟左右；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eastAsia="宋体" w:cs="Times New Roman"/>
          <w:b w:val="0"/>
          <w:bCs w:val="0"/>
          <w:spacing w:val="6"/>
          <w:kern w:val="2"/>
          <w:sz w:val="21"/>
          <w:szCs w:val="21"/>
          <w:lang w:val="en-US" w:eastAsia="zh-CN" w:bidi="ar-SA"/>
        </w:rPr>
        <w:t xml:space="preserve">    （2）湖南科技成果展示片预计时长5分钟左右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eastAsia="宋体" w:cs="Times New Roman"/>
          <w:b w:val="0"/>
          <w:bCs w:val="0"/>
          <w:spacing w:val="6"/>
          <w:kern w:val="2"/>
          <w:sz w:val="21"/>
          <w:szCs w:val="21"/>
          <w:lang w:val="en-US" w:eastAsia="zh-CN" w:bidi="ar-SA"/>
        </w:rPr>
        <w:t xml:space="preserve">    （3）“4+4科创工程”专题片预计时长7分钟左右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68"/>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eastAsia="宋体" w:cs="Times New Roman"/>
          <w:b w:val="0"/>
          <w:bCs w:val="0"/>
          <w:spacing w:val="6"/>
          <w:kern w:val="2"/>
          <w:sz w:val="21"/>
          <w:szCs w:val="21"/>
          <w:lang w:val="en-US" w:eastAsia="zh-CN" w:bidi="ar-SA"/>
        </w:rPr>
        <w:t>（4）科技工作者系列短视频6</w:t>
      </w:r>
      <w:r>
        <w:rPr>
          <w:rFonts w:hint="eastAsia" w:ascii="宋体" w:hAnsi="宋体" w:cs="Times New Roman"/>
          <w:b w:val="0"/>
          <w:bCs w:val="0"/>
          <w:spacing w:val="6"/>
          <w:kern w:val="2"/>
          <w:sz w:val="21"/>
          <w:szCs w:val="21"/>
          <w:lang w:val="en-US" w:eastAsia="zh-CN" w:bidi="ar-SA"/>
        </w:rPr>
        <w:t>期</w:t>
      </w:r>
      <w:r>
        <w:rPr>
          <w:rFonts w:hint="eastAsia" w:ascii="宋体" w:hAnsi="宋体" w:eastAsia="宋体" w:cs="Times New Roman"/>
          <w:b w:val="0"/>
          <w:bCs w:val="0"/>
          <w:spacing w:val="6"/>
          <w:kern w:val="2"/>
          <w:sz w:val="21"/>
          <w:szCs w:val="21"/>
          <w:lang w:val="en-US" w:eastAsia="zh-CN" w:bidi="ar-SA"/>
        </w:rPr>
        <w:t>，每期时长3分钟左右。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3、</w:t>
      </w:r>
      <w:r>
        <w:rPr>
          <w:rFonts w:hint="eastAsia" w:ascii="宋体" w:hAnsi="宋体" w:eastAsia="宋体" w:cs="Times New Roman"/>
          <w:b w:val="0"/>
          <w:bCs w:val="0"/>
          <w:spacing w:val="6"/>
          <w:kern w:val="2"/>
          <w:sz w:val="21"/>
          <w:szCs w:val="21"/>
          <w:lang w:val="en-US" w:eastAsia="zh-CN" w:bidi="ar-SA"/>
        </w:rPr>
        <w:t>视频格式：MP4</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4、</w:t>
      </w:r>
      <w:r>
        <w:rPr>
          <w:rFonts w:hint="eastAsia" w:ascii="宋体" w:hAnsi="宋体" w:eastAsia="宋体" w:cs="Times New Roman"/>
          <w:b w:val="0"/>
          <w:bCs w:val="0"/>
          <w:spacing w:val="6"/>
          <w:kern w:val="2"/>
          <w:sz w:val="21"/>
          <w:szCs w:val="21"/>
          <w:lang w:val="en-US" w:eastAsia="zh-CN" w:bidi="ar-SA"/>
        </w:rPr>
        <w:t>画质要求：1080p高清版本及以上</w:t>
      </w:r>
      <w:r>
        <w:rPr>
          <w:rFonts w:hint="eastAsia" w:ascii="宋体" w:hAnsi="宋体" w:cs="Times New Roman"/>
          <w:b w:val="0"/>
          <w:bCs w:val="0"/>
          <w:spacing w:val="6"/>
          <w:kern w:val="2"/>
          <w:sz w:val="21"/>
          <w:szCs w:val="21"/>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5、</w:t>
      </w:r>
      <w:r>
        <w:rPr>
          <w:rFonts w:hint="eastAsia" w:ascii="宋体" w:hAnsi="宋体" w:eastAsia="宋体" w:cs="Times New Roman"/>
          <w:b w:val="0"/>
          <w:bCs w:val="0"/>
          <w:spacing w:val="6"/>
          <w:kern w:val="2"/>
          <w:sz w:val="21"/>
          <w:szCs w:val="21"/>
          <w:lang w:val="en-US" w:eastAsia="zh-CN" w:bidi="ar-SA"/>
        </w:rPr>
        <w:t>配音要求：国家级专业解说员画外配音</w:t>
      </w:r>
      <w:r>
        <w:rPr>
          <w:rFonts w:hint="eastAsia" w:ascii="宋体" w:hAnsi="宋体" w:cs="Times New Roman"/>
          <w:b w:val="0"/>
          <w:bCs w:val="0"/>
          <w:spacing w:val="6"/>
          <w:kern w:val="2"/>
          <w:sz w:val="21"/>
          <w:szCs w:val="21"/>
          <w:lang w:val="en-US" w:eastAsia="zh-CN" w:bidi="ar-SA"/>
        </w:rPr>
        <w:t>，</w:t>
      </w:r>
      <w:r>
        <w:rPr>
          <w:rFonts w:hint="eastAsia" w:ascii="宋体" w:hAnsi="宋体" w:cs="黑体"/>
          <w:szCs w:val="21"/>
        </w:rPr>
        <w:t>适合本片的特点与要求并经采购方认可，配音音质饱满动听，无杂音，背景音乐、音效等精致优美，能对</w:t>
      </w:r>
      <w:r>
        <w:rPr>
          <w:rFonts w:hint="eastAsia" w:ascii="宋体" w:hAnsi="宋体" w:cs="黑体"/>
          <w:szCs w:val="21"/>
          <w:lang w:val="en-US" w:eastAsia="zh-CN"/>
        </w:rPr>
        <w:t>专题片</w:t>
      </w:r>
      <w:r>
        <w:rPr>
          <w:rFonts w:hint="eastAsia" w:ascii="宋体" w:hAnsi="宋体" w:cs="黑体"/>
          <w:szCs w:val="21"/>
        </w:rPr>
        <w:t>起到辅助作用。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6、</w:t>
      </w:r>
      <w:r>
        <w:rPr>
          <w:rFonts w:hint="eastAsia" w:ascii="宋体" w:hAnsi="宋体" w:eastAsia="宋体" w:cs="Times New Roman"/>
          <w:b w:val="0"/>
          <w:bCs w:val="0"/>
          <w:spacing w:val="6"/>
          <w:kern w:val="2"/>
          <w:sz w:val="21"/>
          <w:szCs w:val="21"/>
          <w:lang w:val="en-US" w:eastAsia="zh-CN" w:bidi="ar-SA"/>
        </w:rPr>
        <w:t>字幕要</w:t>
      </w:r>
      <w:r>
        <w:rPr>
          <w:rFonts w:hint="eastAsia" w:ascii="宋体" w:hAnsi="宋体" w:eastAsia="宋体" w:cs="Times New Roman"/>
          <w:b w:val="0"/>
          <w:bCs w:val="0"/>
          <w:color w:val="auto"/>
          <w:spacing w:val="6"/>
          <w:kern w:val="2"/>
          <w:sz w:val="21"/>
          <w:szCs w:val="21"/>
          <w:lang w:val="en-US" w:eastAsia="zh-CN" w:bidi="ar-SA"/>
        </w:rPr>
        <w:t>求：每行不要</w:t>
      </w:r>
      <w:r>
        <w:rPr>
          <w:rFonts w:hint="eastAsia" w:ascii="宋体" w:hAnsi="宋体" w:eastAsia="宋体" w:cs="Times New Roman"/>
          <w:b w:val="0"/>
          <w:bCs w:val="0"/>
          <w:spacing w:val="6"/>
          <w:kern w:val="2"/>
          <w:sz w:val="21"/>
          <w:szCs w:val="21"/>
          <w:lang w:val="en-US" w:eastAsia="zh-CN" w:bidi="ar-SA"/>
        </w:rPr>
        <w:t>超过15~20个字，字体具有版权。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ascii="宋体" w:hAnsi="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7、</w:t>
      </w:r>
      <w:r>
        <w:rPr>
          <w:rFonts w:hint="eastAsia" w:ascii="宋体" w:hAnsi="宋体" w:eastAsia="宋体" w:cs="Times New Roman"/>
          <w:b w:val="0"/>
          <w:bCs w:val="0"/>
          <w:spacing w:val="6"/>
          <w:kern w:val="2"/>
          <w:sz w:val="21"/>
          <w:szCs w:val="21"/>
          <w:lang w:val="en-US" w:eastAsia="zh-CN" w:bidi="ar-SA"/>
        </w:rPr>
        <w:t>呈现效果：需突出主题、强化节奏、情绪节奏起伏明显。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ascii="宋体" w:hAnsi="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8、</w:t>
      </w:r>
      <w:r>
        <w:rPr>
          <w:rFonts w:hint="eastAsia" w:ascii="宋体" w:hAnsi="宋体" w:eastAsia="宋体" w:cs="Times New Roman"/>
          <w:b w:val="0"/>
          <w:bCs w:val="0"/>
          <w:spacing w:val="6"/>
          <w:kern w:val="2"/>
          <w:sz w:val="21"/>
          <w:szCs w:val="21"/>
          <w:lang w:val="en-US" w:eastAsia="zh-CN" w:bidi="ar-SA"/>
        </w:rPr>
        <w:t>拍摄</w:t>
      </w:r>
      <w:r>
        <w:rPr>
          <w:rFonts w:hint="eastAsia" w:ascii="宋体" w:hAnsi="宋体" w:cs="Times New Roman"/>
          <w:b w:val="0"/>
          <w:bCs w:val="0"/>
          <w:spacing w:val="6"/>
          <w:kern w:val="2"/>
          <w:sz w:val="21"/>
          <w:szCs w:val="21"/>
          <w:lang w:val="en-US" w:eastAsia="zh-CN" w:bidi="ar-SA"/>
        </w:rPr>
        <w:t>设备</w:t>
      </w:r>
      <w:r>
        <w:rPr>
          <w:rFonts w:hint="eastAsia" w:ascii="宋体" w:hAnsi="宋体" w:eastAsia="宋体" w:cs="Times New Roman"/>
          <w:b w:val="0"/>
          <w:bCs w:val="0"/>
          <w:spacing w:val="6"/>
          <w:kern w:val="2"/>
          <w:sz w:val="21"/>
          <w:szCs w:val="21"/>
          <w:lang w:val="en-US" w:eastAsia="zh-CN" w:bidi="ar-SA"/>
        </w:rPr>
        <w:t>要求：全程4K摄像机及4k航拍机拍摄</w:t>
      </w:r>
      <w:r>
        <w:rPr>
          <w:rFonts w:hint="eastAsia" w:ascii="宋体" w:hAnsi="宋体" w:cs="Times New Roman"/>
          <w:b w:val="0"/>
          <w:bCs w:val="0"/>
          <w:spacing w:val="6"/>
          <w:kern w:val="2"/>
          <w:sz w:val="21"/>
          <w:szCs w:val="21"/>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lang w:val="en-US" w:eastAsia="zh-CN"/>
        </w:rPr>
      </w:pPr>
      <w:r>
        <w:rPr>
          <w:rFonts w:hint="eastAsia" w:ascii="宋体" w:hAnsi="宋体" w:cs="Times New Roman"/>
          <w:b w:val="0"/>
          <w:bCs w:val="0"/>
          <w:spacing w:val="6"/>
          <w:kern w:val="2"/>
          <w:sz w:val="21"/>
          <w:szCs w:val="21"/>
          <w:lang w:val="en-US" w:eastAsia="zh-CN" w:bidi="ar-SA"/>
        </w:rPr>
        <w:t>9、</w:t>
      </w:r>
      <w:r>
        <w:rPr>
          <w:rFonts w:hint="eastAsia" w:ascii="宋体" w:hAnsi="宋体" w:cs="黑体"/>
          <w:szCs w:val="21"/>
        </w:rPr>
        <w:t>后期设备要求：</w:t>
      </w:r>
      <w:r>
        <w:rPr>
          <w:rFonts w:hint="eastAsia" w:ascii="宋体" w:hAnsi="宋体" w:eastAsia="宋体" w:cs="Times New Roman"/>
          <w:b w:val="0"/>
          <w:bCs w:val="0"/>
          <w:spacing w:val="6"/>
          <w:kern w:val="2"/>
          <w:sz w:val="21"/>
          <w:szCs w:val="21"/>
          <w:lang w:val="en-US" w:eastAsia="zh-CN" w:bidi="ar-SA"/>
        </w:rPr>
        <w:t>数字非编软件剪辑，DaVinci Resolve全片调色</w:t>
      </w:r>
      <w:r>
        <w:rPr>
          <w:rFonts w:hint="eastAsia" w:ascii="宋体" w:hAnsi="宋体" w:cs="黑体"/>
          <w:szCs w:val="21"/>
        </w:rPr>
        <w:t>等进行专业、创意后期制作，确保成片质量。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eastAsia" w:ascii="宋体" w:hAnsi="宋体" w:cs="黑体"/>
          <w:szCs w:val="21"/>
          <w:lang w:val="en-US" w:eastAsia="zh-CN"/>
        </w:rPr>
      </w:pPr>
      <w:r>
        <w:rPr>
          <w:rFonts w:hint="eastAsia" w:ascii="宋体" w:hAnsi="宋体" w:cs="黑体"/>
          <w:szCs w:val="21"/>
          <w:lang w:val="en-US" w:eastAsia="zh-CN"/>
        </w:rPr>
        <w:t>10、成交供应商须严格遵守采购人相关保密制度和双方签订的保密协议，遵守信息制作及发布程序的相关规定，未经授权同意，不得擅自使用、转发、发布任何图片、视频等信息。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eastAsia" w:ascii="宋体" w:hAnsi="宋体" w:cs="黑体"/>
          <w:szCs w:val="21"/>
          <w:lang w:val="en-US" w:eastAsia="zh-CN"/>
        </w:rPr>
      </w:pPr>
      <w:r>
        <w:rPr>
          <w:rFonts w:hint="eastAsia" w:ascii="宋体" w:hAnsi="宋体" w:cs="黑体"/>
          <w:szCs w:val="21"/>
          <w:lang w:val="en-US" w:eastAsia="zh-CN"/>
        </w:rPr>
        <w:t>11、成交供应商所提供的服务内容全过程中所涉及的各方面（包括但不限于采集内容、所使用素材和成果等）均不得侵犯他人权利，否则承担一切责任及后果。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eastAsia"/>
          <w:lang w:val="en-US" w:eastAsia="zh-CN"/>
        </w:rPr>
      </w:pPr>
      <w:r>
        <w:rPr>
          <w:rFonts w:hint="eastAsia" w:ascii="宋体" w:hAnsi="宋体" w:cs="黑体"/>
          <w:szCs w:val="21"/>
          <w:lang w:val="en-US" w:eastAsia="zh-CN"/>
        </w:rPr>
        <w:t>12、项目完成后，采购人享有对在服务期间所有成果的著作权，享有成果中所使用选题、画面等原始素材的知识产权。</w:t>
      </w:r>
    </w:p>
    <w:p>
      <w:pPr>
        <w:pStyle w:val="81"/>
        <w:keepNext w:val="0"/>
        <w:keepLines w:val="0"/>
        <w:pageBreakBefore w:val="0"/>
        <w:widowControl w:val="0"/>
        <w:numPr>
          <w:ilvl w:val="0"/>
          <w:numId w:val="8"/>
        </w:numPr>
        <w:kinsoku/>
        <w:wordWrap/>
        <w:overflowPunct/>
        <w:topLinePunct w:val="0"/>
        <w:autoSpaceDE/>
        <w:autoSpaceDN/>
        <w:bidi w:val="0"/>
        <w:adjustRightInd/>
        <w:snapToGrid/>
        <w:spacing w:before="120" w:beforeLines="50" w:line="460" w:lineRule="atLeast"/>
        <w:ind w:left="0" w:leftChars="0" w:firstLine="445" w:firstLineChars="200"/>
        <w:textAlignment w:val="auto"/>
        <w:rPr>
          <w:rFonts w:hint="eastAsia" w:ascii="宋体" w:hAnsi="宋体"/>
          <w:b/>
          <w:bCs/>
          <w:sz w:val="21"/>
          <w:szCs w:val="21"/>
          <w:lang w:val="en-US" w:eastAsia="zh-CN"/>
        </w:rPr>
      </w:pPr>
      <w:r>
        <w:rPr>
          <w:rFonts w:hint="eastAsia" w:ascii="宋体" w:hAnsi="宋体"/>
          <w:b/>
          <w:bCs/>
          <w:sz w:val="21"/>
          <w:szCs w:val="21"/>
          <w:lang w:val="en-US" w:eastAsia="zh-CN"/>
        </w:rPr>
        <w:t>服务时间及地点</w:t>
      </w:r>
    </w:p>
    <w:p>
      <w:pPr>
        <w:keepNext w:val="0"/>
        <w:keepLines w:val="0"/>
        <w:pageBreakBefore w:val="0"/>
        <w:widowControl w:val="0"/>
        <w:kinsoku/>
        <w:wordWrap/>
        <w:overflowPunct/>
        <w:topLinePunct w:val="0"/>
        <w:autoSpaceDE/>
        <w:autoSpaceDN/>
        <w:bidi w:val="0"/>
        <w:adjustRightInd/>
        <w:snapToGrid/>
        <w:spacing w:line="460" w:lineRule="exact"/>
        <w:ind w:firstLine="444" w:firstLineChars="200"/>
        <w:textAlignment w:val="auto"/>
        <w:rPr>
          <w:rFonts w:hint="default" w:ascii="宋体" w:hAnsi="宋体" w:eastAsia="宋体" w:cs="Times New Roman"/>
          <w:b w:val="0"/>
          <w:bCs w:val="0"/>
          <w:color w:val="auto"/>
          <w:spacing w:val="6"/>
          <w:kern w:val="2"/>
          <w:sz w:val="21"/>
          <w:szCs w:val="21"/>
          <w:shd w:val="clear" w:color="auto" w:fill="auto"/>
          <w:lang w:val="en-US" w:eastAsia="zh-CN" w:bidi="ar-SA"/>
        </w:rPr>
      </w:pPr>
      <w:bookmarkStart w:id="26" w:name="OLE_LINK11"/>
      <w:bookmarkStart w:id="27" w:name="OLE_LINK8"/>
      <w:r>
        <w:rPr>
          <w:rFonts w:hint="eastAsia" w:ascii="宋体" w:hAnsi="宋体" w:cs="Times New Roman"/>
          <w:b w:val="0"/>
          <w:bCs w:val="0"/>
          <w:color w:val="auto"/>
          <w:spacing w:val="6"/>
          <w:kern w:val="2"/>
          <w:sz w:val="21"/>
          <w:szCs w:val="21"/>
          <w:shd w:val="clear" w:color="auto" w:fill="auto"/>
          <w:lang w:val="en-US" w:eastAsia="zh-CN" w:bidi="ar-SA"/>
        </w:rPr>
        <w:t>1、服务时间：合同签订之日起至2023年12月底。</w:t>
      </w:r>
    </w:p>
    <w:p>
      <w:pPr>
        <w:pStyle w:val="8"/>
        <w:pageBreakBefore w:val="0"/>
        <w:widowControl w:val="0"/>
        <w:kinsoku/>
        <w:wordWrap/>
        <w:overflowPunct/>
        <w:topLinePunct w:val="0"/>
        <w:autoSpaceDE/>
        <w:autoSpaceDN/>
        <w:bidi w:val="0"/>
        <w:adjustRightInd/>
        <w:snapToGrid/>
        <w:spacing w:line="460" w:lineRule="exact"/>
        <w:ind w:firstLine="444" w:firstLineChars="200"/>
        <w:textAlignment w:val="auto"/>
        <w:rPr>
          <w:rFonts w:hint="default"/>
          <w:color w:val="auto"/>
          <w:lang w:val="en-US" w:eastAsia="zh-CN"/>
        </w:rPr>
      </w:pPr>
      <w:r>
        <w:rPr>
          <w:rFonts w:hint="eastAsia" w:ascii="宋体" w:hAnsi="宋体" w:eastAsia="宋体" w:cs="Times New Roman"/>
          <w:b w:val="0"/>
          <w:bCs w:val="0"/>
          <w:color w:val="auto"/>
          <w:spacing w:val="6"/>
          <w:kern w:val="2"/>
          <w:sz w:val="21"/>
          <w:szCs w:val="21"/>
          <w:shd w:val="clear" w:color="auto" w:fill="auto"/>
          <w:lang w:val="en-US" w:eastAsia="zh-CN" w:bidi="ar-SA"/>
        </w:rPr>
        <w:t>2、服务地点</w:t>
      </w:r>
      <w:r>
        <w:rPr>
          <w:rFonts w:hint="eastAsia" w:ascii="宋体" w:hAnsi="宋体" w:cs="Times New Roman"/>
          <w:b w:val="0"/>
          <w:bCs w:val="0"/>
          <w:color w:val="auto"/>
          <w:spacing w:val="6"/>
          <w:kern w:val="2"/>
          <w:sz w:val="21"/>
          <w:szCs w:val="21"/>
          <w:shd w:val="clear" w:color="auto" w:fill="auto"/>
          <w:lang w:val="en-US" w:eastAsia="zh-CN" w:bidi="ar-SA"/>
        </w:rPr>
        <w:t>：采购人指定地点。</w:t>
      </w:r>
    </w:p>
    <w:p>
      <w:pPr>
        <w:keepNext w:val="0"/>
        <w:keepLines w:val="0"/>
        <w:pageBreakBefore w:val="0"/>
        <w:widowControl w:val="0"/>
        <w:kinsoku/>
        <w:wordWrap/>
        <w:overflowPunct/>
        <w:topLinePunct w:val="0"/>
        <w:autoSpaceDE/>
        <w:autoSpaceDN/>
        <w:bidi w:val="0"/>
        <w:adjustRightInd/>
        <w:snapToGrid/>
        <w:spacing w:line="460" w:lineRule="exact"/>
        <w:ind w:firstLine="444" w:firstLineChars="200"/>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3、</w:t>
      </w:r>
      <w:r>
        <w:rPr>
          <w:rFonts w:hint="eastAsia" w:ascii="宋体" w:hAnsi="宋体" w:eastAsia="宋体" w:cs="Times New Roman"/>
          <w:b w:val="0"/>
          <w:bCs w:val="0"/>
          <w:spacing w:val="6"/>
          <w:kern w:val="2"/>
          <w:sz w:val="21"/>
          <w:szCs w:val="21"/>
          <w:lang w:val="en-US" w:eastAsia="zh-CN" w:bidi="ar-SA"/>
        </w:rPr>
        <w:t>项目实施单位在项目推进中需为采购单位提供全方位的项目推进咨询服务；项目完成后，需提交本次项目合作完整的资料及总结材料。</w:t>
      </w:r>
      <w:bookmarkEnd w:id="26"/>
      <w:bookmarkEnd w:id="27"/>
    </w:p>
    <w:p>
      <w:pPr>
        <w:pStyle w:val="81"/>
        <w:keepNext w:val="0"/>
        <w:keepLines w:val="0"/>
        <w:pageBreakBefore w:val="0"/>
        <w:widowControl w:val="0"/>
        <w:numPr>
          <w:ilvl w:val="0"/>
          <w:numId w:val="8"/>
        </w:numPr>
        <w:kinsoku/>
        <w:wordWrap/>
        <w:overflowPunct/>
        <w:topLinePunct w:val="0"/>
        <w:autoSpaceDE/>
        <w:autoSpaceDN/>
        <w:bidi w:val="0"/>
        <w:adjustRightInd/>
        <w:snapToGrid/>
        <w:spacing w:before="120" w:beforeLines="50" w:line="440" w:lineRule="exact"/>
        <w:ind w:left="0" w:leftChars="0" w:firstLine="445" w:firstLineChars="200"/>
        <w:textAlignment w:val="auto"/>
        <w:rPr>
          <w:rFonts w:hint="eastAsia" w:ascii="宋体" w:hAnsi="宋体"/>
          <w:b/>
          <w:bCs/>
          <w:sz w:val="21"/>
          <w:szCs w:val="21"/>
          <w:lang w:val="en-US" w:eastAsia="zh-CN"/>
        </w:rPr>
      </w:pPr>
      <w:r>
        <w:rPr>
          <w:rFonts w:hint="eastAsia" w:ascii="宋体" w:hAnsi="宋体"/>
          <w:b/>
          <w:bCs/>
          <w:sz w:val="21"/>
          <w:szCs w:val="21"/>
          <w:lang w:val="en-US" w:eastAsia="zh-CN"/>
        </w:rPr>
        <w:t>项目验收</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1、采购人对项目成果实施验收，供应商应提供相应资料。</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2、项目验收不合格，由供应商返工直至合格，有关返工、再行验收，以及给采购人造成的损失</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等费用由供应商承担。采购人可根据项目的验收情况，限定返工期限，连续两次项目验收不合格的，采购人可终止合同，由此带来的损失由供应商承担。</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5" w:firstLineChars="200"/>
        <w:textAlignment w:val="auto"/>
        <w:rPr>
          <w:rFonts w:hint="eastAsia" w:ascii="宋体" w:hAnsi="宋体"/>
          <w:b/>
          <w:bCs/>
          <w:sz w:val="21"/>
          <w:szCs w:val="21"/>
          <w:lang w:val="en-US" w:eastAsia="zh-CN"/>
        </w:rPr>
      </w:pPr>
      <w:r>
        <w:rPr>
          <w:rFonts w:hint="eastAsia" w:ascii="宋体" w:hAnsi="宋体"/>
          <w:b/>
          <w:bCs/>
          <w:sz w:val="21"/>
          <w:szCs w:val="21"/>
          <w:lang w:val="en-US" w:eastAsia="zh-CN"/>
        </w:rPr>
        <w:t>六、其他要求及说明</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1、付款人及付款方式</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付款人：湖南省科技厅</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付款方式：合同签订后，甲方在15个工作日内支付30%款项，宣传片验收合格后15个工作日内付清70%尾款。</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zCs w:val="21"/>
        </w:rPr>
      </w:pPr>
      <w:r>
        <w:rPr>
          <w:rFonts w:hint="eastAsia" w:ascii="宋体" w:hAnsi="宋体"/>
          <w:b w:val="0"/>
          <w:bCs w:val="0"/>
          <w:sz w:val="21"/>
          <w:szCs w:val="21"/>
          <w:lang w:val="en-US" w:eastAsia="zh-CN"/>
        </w:rPr>
        <w:t>2、本项目采用费用包干方式，供应商应根据项目要求和实际情况，报价应包含项目所需的所有费用，如一旦成交，在项目实施中出现任何遗漏，均由成交供应商免费提供，采购人不再支付任何费用。</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5" w:firstLineChars="200"/>
        <w:textAlignment w:val="auto"/>
        <w:rPr>
          <w:rFonts w:ascii="宋体" w:hAnsi="宋体"/>
          <w:b/>
          <w:sz w:val="36"/>
          <w:szCs w:val="36"/>
        </w:rPr>
      </w:pPr>
      <w:r>
        <w:rPr>
          <w:rFonts w:hint="eastAsia" w:ascii="宋体" w:hAnsi="宋体"/>
          <w:b/>
          <w:bCs/>
          <w:sz w:val="21"/>
          <w:szCs w:val="21"/>
          <w:lang w:val="en-US" w:eastAsia="zh-CN"/>
        </w:rPr>
        <w:t>七</w:t>
      </w:r>
      <w:r>
        <w:rPr>
          <w:rFonts w:hint="eastAsia" w:ascii="宋体" w:hAnsi="宋体"/>
          <w:b/>
          <w:bCs/>
          <w:sz w:val="21"/>
          <w:szCs w:val="21"/>
        </w:rPr>
        <w:t>、对于上述项目要求，供应商应在</w:t>
      </w:r>
      <w:r>
        <w:rPr>
          <w:rFonts w:hint="eastAsia" w:ascii="宋体" w:hAnsi="宋体"/>
          <w:b/>
          <w:bCs/>
          <w:sz w:val="21"/>
          <w:szCs w:val="21"/>
          <w:lang w:val="en-US" w:eastAsia="zh-CN"/>
        </w:rPr>
        <w:t>响应</w:t>
      </w:r>
      <w:r>
        <w:rPr>
          <w:rFonts w:hint="eastAsia" w:ascii="宋体" w:hAnsi="宋体"/>
          <w:b/>
          <w:bCs/>
          <w:sz w:val="21"/>
          <w:szCs w:val="21"/>
        </w:rPr>
        <w:t>文件中进行回应，作出承诺及说明。</w:t>
      </w:r>
      <w:r>
        <w:rPr>
          <w:rFonts w:ascii="宋体" w:hAnsi="宋体"/>
          <w:b/>
          <w:sz w:val="36"/>
          <w:szCs w:val="36"/>
        </w:rPr>
        <w:br w:type="page"/>
      </w:r>
    </w:p>
    <w:p>
      <w:pPr>
        <w:pageBreakBefore w:val="0"/>
        <w:kinsoku/>
        <w:wordWrap/>
        <w:overflowPunct/>
        <w:bidi w:val="0"/>
        <w:spacing w:before="120" w:beforeLines="50" w:after="240" w:afterLines="100" w:line="440" w:lineRule="exact"/>
        <w:jc w:val="center"/>
        <w:outlineLvl w:val="0"/>
        <w:rPr>
          <w:rFonts w:ascii="宋体" w:hAnsi="宋体"/>
          <w:b/>
          <w:sz w:val="36"/>
          <w:szCs w:val="36"/>
        </w:rPr>
      </w:pPr>
      <w:r>
        <w:rPr>
          <w:rFonts w:hint="eastAsia" w:ascii="宋体" w:hAnsi="宋体"/>
          <w:b/>
          <w:sz w:val="36"/>
          <w:szCs w:val="36"/>
        </w:rPr>
        <w:t>第五章 响应文件组成</w:t>
      </w:r>
      <w:bookmarkEnd w:id="24"/>
      <w:bookmarkEnd w:id="25"/>
    </w:p>
    <w:p>
      <w:pPr>
        <w:pageBreakBefore w:val="0"/>
        <w:kinsoku/>
        <w:wordWrap/>
        <w:overflowPunct/>
        <w:bidi w:val="0"/>
        <w:spacing w:line="440" w:lineRule="exact"/>
        <w:textAlignment w:val="baseline"/>
        <w:rPr>
          <w:rStyle w:val="60"/>
          <w:rFonts w:ascii="宋体"/>
        </w:rPr>
      </w:pPr>
      <w:r>
        <w:rPr>
          <w:rStyle w:val="60"/>
          <w:rFonts w:ascii="宋体"/>
        </w:rPr>
        <w:t>供应商的响应文件应包含以下个部分：</w:t>
      </w:r>
    </w:p>
    <w:p>
      <w:pPr>
        <w:pageBreakBefore w:val="0"/>
        <w:kinsoku/>
        <w:wordWrap/>
        <w:overflowPunct/>
        <w:bidi w:val="0"/>
        <w:snapToGrid w:val="0"/>
        <w:spacing w:line="440" w:lineRule="exact"/>
        <w:jc w:val="left"/>
        <w:textAlignment w:val="baseline"/>
        <w:rPr>
          <w:rStyle w:val="60"/>
          <w:rFonts w:ascii="宋体" w:hAnsi="宋体"/>
          <w:b/>
          <w:szCs w:val="21"/>
        </w:rPr>
      </w:pPr>
      <w:r>
        <w:rPr>
          <w:rStyle w:val="60"/>
          <w:rFonts w:ascii="宋体" w:hAnsi="宋体"/>
          <w:b/>
          <w:szCs w:val="21"/>
        </w:rPr>
        <w:t>一、磋商响应声明</w:t>
      </w:r>
    </w:p>
    <w:p>
      <w:pPr>
        <w:pageBreakBefore w:val="0"/>
        <w:kinsoku/>
        <w:wordWrap/>
        <w:overflowPunct/>
        <w:bidi w:val="0"/>
        <w:snapToGrid w:val="0"/>
        <w:spacing w:line="440" w:lineRule="exact"/>
        <w:ind w:firstLine="420" w:firstLineChars="200"/>
        <w:jc w:val="left"/>
        <w:textAlignment w:val="baseline"/>
        <w:rPr>
          <w:rStyle w:val="60"/>
          <w:rFonts w:ascii="宋体" w:hAnsi="宋体"/>
          <w:szCs w:val="21"/>
        </w:rPr>
      </w:pPr>
      <w:r>
        <w:rPr>
          <w:rStyle w:val="60"/>
          <w:rFonts w:ascii="宋体" w:hAnsi="宋体"/>
          <w:szCs w:val="21"/>
        </w:rPr>
        <w:t>附件1：</w:t>
      </w:r>
      <w:r>
        <w:rPr>
          <w:rStyle w:val="60"/>
          <w:rFonts w:hint="eastAsia" w:ascii="宋体" w:hAnsi="宋体"/>
          <w:szCs w:val="21"/>
        </w:rPr>
        <w:t>法定代表人身份证明</w:t>
      </w:r>
    </w:p>
    <w:p>
      <w:pPr>
        <w:pageBreakBefore w:val="0"/>
        <w:kinsoku/>
        <w:wordWrap/>
        <w:overflowPunct/>
        <w:bidi w:val="0"/>
        <w:snapToGrid w:val="0"/>
        <w:spacing w:line="440" w:lineRule="exact"/>
        <w:ind w:firstLine="420" w:firstLineChars="200"/>
        <w:jc w:val="left"/>
        <w:textAlignment w:val="baseline"/>
        <w:rPr>
          <w:rStyle w:val="60"/>
          <w:rFonts w:ascii="宋体" w:hAnsi="宋体"/>
          <w:szCs w:val="21"/>
        </w:rPr>
      </w:pPr>
      <w:r>
        <w:rPr>
          <w:rStyle w:val="60"/>
          <w:rFonts w:ascii="宋体" w:hAnsi="宋体"/>
          <w:szCs w:val="21"/>
        </w:rPr>
        <w:t>附件2：</w:t>
      </w:r>
      <w:r>
        <w:rPr>
          <w:rStyle w:val="60"/>
          <w:rFonts w:hint="eastAsia" w:ascii="宋体" w:hAnsi="宋体"/>
          <w:szCs w:val="21"/>
        </w:rPr>
        <w:t>授权委托书</w:t>
      </w:r>
    </w:p>
    <w:p>
      <w:pPr>
        <w:pageBreakBefore w:val="0"/>
        <w:kinsoku/>
        <w:wordWrap/>
        <w:overflowPunct/>
        <w:bidi w:val="0"/>
        <w:snapToGrid w:val="0"/>
        <w:spacing w:line="440" w:lineRule="exact"/>
        <w:jc w:val="left"/>
        <w:textAlignment w:val="baseline"/>
        <w:rPr>
          <w:rStyle w:val="60"/>
          <w:rFonts w:ascii="宋体" w:hAnsi="宋体"/>
          <w:b/>
          <w:szCs w:val="21"/>
        </w:rPr>
      </w:pPr>
      <w:r>
        <w:rPr>
          <w:rStyle w:val="60"/>
          <w:rFonts w:hint="eastAsia" w:ascii="宋体" w:hAnsi="宋体"/>
          <w:b/>
          <w:szCs w:val="21"/>
        </w:rPr>
        <w:t>二</w:t>
      </w:r>
      <w:r>
        <w:rPr>
          <w:rStyle w:val="60"/>
          <w:rFonts w:ascii="宋体" w:hAnsi="宋体"/>
          <w:b/>
          <w:szCs w:val="21"/>
        </w:rPr>
        <w:t>、供应商的资格证明资料</w:t>
      </w:r>
    </w:p>
    <w:p>
      <w:pPr>
        <w:pageBreakBefore w:val="0"/>
        <w:kinsoku/>
        <w:wordWrap/>
        <w:overflowPunct/>
        <w:bidi w:val="0"/>
        <w:snapToGrid w:val="0"/>
        <w:spacing w:line="440" w:lineRule="exact"/>
        <w:ind w:firstLine="420" w:firstLineChars="200"/>
        <w:jc w:val="left"/>
        <w:textAlignment w:val="baseline"/>
        <w:rPr>
          <w:rStyle w:val="60"/>
          <w:rFonts w:ascii="宋体" w:hAnsi="宋体"/>
          <w:szCs w:val="21"/>
        </w:rPr>
      </w:pPr>
      <w:r>
        <w:rPr>
          <w:rStyle w:val="60"/>
          <w:rFonts w:ascii="宋体" w:hAnsi="宋体"/>
          <w:szCs w:val="21"/>
        </w:rPr>
        <w:t>附件3：供应商基本情况表</w:t>
      </w:r>
    </w:p>
    <w:p>
      <w:pPr>
        <w:pageBreakBefore w:val="0"/>
        <w:kinsoku/>
        <w:wordWrap/>
        <w:overflowPunct/>
        <w:bidi w:val="0"/>
        <w:snapToGrid w:val="0"/>
        <w:spacing w:line="440" w:lineRule="exact"/>
        <w:ind w:firstLine="420" w:firstLineChars="200"/>
        <w:textAlignment w:val="baseline"/>
        <w:rPr>
          <w:rStyle w:val="60"/>
          <w:rFonts w:ascii="宋体" w:hAnsi="宋体"/>
          <w:szCs w:val="21"/>
        </w:rPr>
      </w:pPr>
      <w:r>
        <w:rPr>
          <w:rStyle w:val="60"/>
          <w:rFonts w:ascii="宋体" w:hAnsi="宋体"/>
          <w:szCs w:val="21"/>
        </w:rPr>
        <w:t>附件4</w:t>
      </w:r>
      <w:r>
        <w:rPr>
          <w:rStyle w:val="60"/>
          <w:rFonts w:hint="eastAsia" w:ascii="宋体" w:hAnsi="宋体"/>
          <w:szCs w:val="21"/>
        </w:rPr>
        <w:t>-1</w:t>
      </w:r>
      <w:r>
        <w:rPr>
          <w:rStyle w:val="60"/>
          <w:rFonts w:ascii="宋体" w:hAnsi="宋体"/>
          <w:szCs w:val="21"/>
        </w:rPr>
        <w:t>：磋商文件规定的基本资格条件证明资料</w:t>
      </w:r>
    </w:p>
    <w:p>
      <w:pPr>
        <w:pageBreakBefore w:val="0"/>
        <w:kinsoku/>
        <w:wordWrap/>
        <w:overflowPunct/>
        <w:bidi w:val="0"/>
        <w:snapToGrid w:val="0"/>
        <w:spacing w:line="440" w:lineRule="exact"/>
        <w:ind w:firstLine="420" w:firstLineChars="200"/>
        <w:textAlignment w:val="baseline"/>
        <w:rPr>
          <w:rStyle w:val="60"/>
          <w:rFonts w:ascii="宋体" w:hAnsi="宋体"/>
          <w:szCs w:val="21"/>
        </w:rPr>
      </w:pPr>
      <w:r>
        <w:rPr>
          <w:rStyle w:val="60"/>
          <w:rFonts w:ascii="宋体" w:hAnsi="宋体"/>
          <w:szCs w:val="21"/>
        </w:rPr>
        <w:t>附件4</w:t>
      </w:r>
      <w:r>
        <w:rPr>
          <w:rStyle w:val="60"/>
          <w:rFonts w:hint="eastAsia" w:ascii="宋体" w:hAnsi="宋体"/>
          <w:szCs w:val="21"/>
        </w:rPr>
        <w:t>-</w:t>
      </w:r>
      <w:r>
        <w:rPr>
          <w:rStyle w:val="60"/>
          <w:rFonts w:hint="eastAsia" w:ascii="宋体" w:hAnsi="宋体"/>
          <w:szCs w:val="21"/>
          <w:lang w:val="en-US"/>
        </w:rPr>
        <w:t>2</w:t>
      </w:r>
      <w:r>
        <w:rPr>
          <w:rStyle w:val="60"/>
          <w:rFonts w:ascii="宋体" w:hAnsi="宋体"/>
          <w:szCs w:val="21"/>
        </w:rPr>
        <w:t>：</w:t>
      </w:r>
      <w:r>
        <w:rPr>
          <w:rStyle w:val="60"/>
          <w:rFonts w:hint="eastAsia" w:ascii="宋体" w:hAnsi="宋体"/>
          <w:szCs w:val="21"/>
        </w:rPr>
        <w:t>供应商资格声明</w:t>
      </w:r>
    </w:p>
    <w:p>
      <w:pPr>
        <w:pageBreakBefore w:val="0"/>
        <w:kinsoku/>
        <w:wordWrap/>
        <w:overflowPunct/>
        <w:bidi w:val="0"/>
        <w:snapToGrid w:val="0"/>
        <w:spacing w:line="440" w:lineRule="exact"/>
        <w:ind w:firstLine="420" w:firstLineChars="200"/>
        <w:textAlignment w:val="baseline"/>
        <w:rPr>
          <w:rStyle w:val="60"/>
          <w:rFonts w:hint="default" w:ascii="宋体" w:hAnsi="宋体"/>
          <w:szCs w:val="21"/>
          <w:lang w:val="en-US"/>
        </w:rPr>
      </w:pPr>
      <w:r>
        <w:rPr>
          <w:rStyle w:val="60"/>
          <w:rFonts w:hint="eastAsia" w:ascii="宋体" w:hAnsi="宋体"/>
          <w:szCs w:val="21"/>
          <w:lang w:val="en-US"/>
        </w:rPr>
        <w:t>附件4-3：参加政府采购活动前三年内在经营活动中没有重大违法记录的书面声明</w:t>
      </w:r>
    </w:p>
    <w:p>
      <w:pPr>
        <w:pageBreakBefore w:val="0"/>
        <w:kinsoku/>
        <w:wordWrap/>
        <w:overflowPunct/>
        <w:bidi w:val="0"/>
        <w:snapToGrid w:val="0"/>
        <w:spacing w:line="440" w:lineRule="exact"/>
        <w:ind w:firstLine="420" w:firstLineChars="200"/>
        <w:textAlignment w:val="baseline"/>
      </w:pPr>
      <w:r>
        <w:rPr>
          <w:rStyle w:val="60"/>
          <w:rFonts w:ascii="宋体" w:hAnsi="宋体"/>
          <w:szCs w:val="21"/>
        </w:rPr>
        <w:t>附件4</w:t>
      </w:r>
      <w:r>
        <w:rPr>
          <w:rStyle w:val="60"/>
          <w:rFonts w:hint="eastAsia" w:ascii="宋体" w:hAnsi="宋体"/>
          <w:szCs w:val="21"/>
        </w:rPr>
        <w:t>-</w:t>
      </w:r>
      <w:r>
        <w:rPr>
          <w:rStyle w:val="60"/>
          <w:rFonts w:hint="eastAsia" w:ascii="宋体" w:hAnsi="宋体"/>
          <w:szCs w:val="21"/>
          <w:lang w:val="en-US"/>
        </w:rPr>
        <w:t>4</w:t>
      </w:r>
      <w:r>
        <w:rPr>
          <w:rStyle w:val="60"/>
          <w:rFonts w:ascii="宋体" w:hAnsi="宋体"/>
          <w:szCs w:val="21"/>
        </w:rPr>
        <w:t>：</w:t>
      </w:r>
      <w:r>
        <w:rPr>
          <w:rStyle w:val="60"/>
          <w:rFonts w:hint="eastAsia" w:ascii="宋体" w:hAnsi="宋体"/>
          <w:szCs w:val="21"/>
        </w:rPr>
        <w:t>符合特定资格条件证明材料复印件或者情况说明</w:t>
      </w:r>
    </w:p>
    <w:p>
      <w:pPr>
        <w:pageBreakBefore w:val="0"/>
        <w:kinsoku/>
        <w:wordWrap/>
        <w:overflowPunct/>
        <w:bidi w:val="0"/>
        <w:snapToGrid w:val="0"/>
        <w:spacing w:line="440" w:lineRule="exact"/>
        <w:ind w:firstLine="420" w:firstLineChars="200"/>
        <w:textAlignment w:val="baseline"/>
        <w:rPr>
          <w:rStyle w:val="60"/>
          <w:rFonts w:ascii="宋体" w:hAnsi="宋体"/>
          <w:bCs/>
          <w:szCs w:val="21"/>
        </w:rPr>
      </w:pPr>
      <w:r>
        <w:rPr>
          <w:rStyle w:val="60"/>
          <w:rFonts w:ascii="宋体" w:hAnsi="宋体"/>
          <w:szCs w:val="21"/>
        </w:rPr>
        <w:t>附件</w:t>
      </w:r>
      <w:r>
        <w:rPr>
          <w:rStyle w:val="60"/>
          <w:rFonts w:hint="eastAsia" w:ascii="宋体" w:hAnsi="宋体"/>
          <w:szCs w:val="21"/>
        </w:rPr>
        <w:t>5</w:t>
      </w:r>
      <w:r>
        <w:rPr>
          <w:rStyle w:val="60"/>
          <w:rFonts w:ascii="宋体" w:hAnsi="宋体"/>
          <w:szCs w:val="21"/>
        </w:rPr>
        <w:t>：</w:t>
      </w:r>
      <w:r>
        <w:rPr>
          <w:rStyle w:val="60"/>
          <w:rFonts w:hint="eastAsia" w:ascii="宋体" w:hAnsi="宋体"/>
          <w:szCs w:val="21"/>
        </w:rPr>
        <w:t>其他证明资料或说明</w:t>
      </w:r>
    </w:p>
    <w:p>
      <w:pPr>
        <w:pStyle w:val="80"/>
        <w:pageBreakBefore w:val="0"/>
        <w:widowControl/>
        <w:kinsoku/>
        <w:wordWrap/>
        <w:overflowPunct/>
        <w:bidi w:val="0"/>
        <w:snapToGrid w:val="0"/>
        <w:spacing w:line="440" w:lineRule="exact"/>
        <w:rPr>
          <w:rStyle w:val="60"/>
          <w:rFonts w:hAnsi="宋体"/>
          <w:b/>
          <w:szCs w:val="21"/>
        </w:rPr>
      </w:pPr>
      <w:r>
        <w:rPr>
          <w:rStyle w:val="60"/>
          <w:rFonts w:hint="eastAsia" w:hAnsi="宋体"/>
          <w:b/>
          <w:szCs w:val="21"/>
        </w:rPr>
        <w:t>三</w:t>
      </w:r>
      <w:r>
        <w:rPr>
          <w:rStyle w:val="60"/>
          <w:rFonts w:hAnsi="宋体"/>
          <w:b/>
          <w:szCs w:val="21"/>
        </w:rPr>
        <w:t>、服务方案说明</w:t>
      </w:r>
    </w:p>
    <w:p>
      <w:pPr>
        <w:pStyle w:val="80"/>
        <w:pageBreakBefore w:val="0"/>
        <w:widowControl/>
        <w:kinsoku/>
        <w:wordWrap/>
        <w:overflowPunct/>
        <w:bidi w:val="0"/>
        <w:snapToGrid w:val="0"/>
        <w:spacing w:line="440" w:lineRule="exact"/>
        <w:ind w:firstLine="435"/>
        <w:rPr>
          <w:rStyle w:val="60"/>
          <w:rFonts w:hAnsi="宋体"/>
          <w:szCs w:val="21"/>
        </w:rPr>
      </w:pPr>
      <w:r>
        <w:rPr>
          <w:rStyle w:val="60"/>
          <w:rFonts w:hAnsi="宋体"/>
          <w:szCs w:val="21"/>
        </w:rPr>
        <w:t>附件</w:t>
      </w:r>
      <w:r>
        <w:rPr>
          <w:rStyle w:val="60"/>
          <w:rFonts w:hint="eastAsia" w:hAnsi="宋体"/>
          <w:szCs w:val="21"/>
        </w:rPr>
        <w:t>6</w:t>
      </w:r>
      <w:r>
        <w:rPr>
          <w:rStyle w:val="60"/>
          <w:rFonts w:hAnsi="宋体"/>
          <w:szCs w:val="21"/>
        </w:rPr>
        <w:t>：服务方案说明</w:t>
      </w:r>
    </w:p>
    <w:p>
      <w:pPr>
        <w:pageBreakBefore w:val="0"/>
        <w:kinsoku/>
        <w:wordWrap/>
        <w:overflowPunct/>
        <w:bidi w:val="0"/>
        <w:snapToGrid w:val="0"/>
        <w:spacing w:line="440" w:lineRule="exact"/>
        <w:textAlignment w:val="baseline"/>
        <w:rPr>
          <w:rStyle w:val="60"/>
          <w:rFonts w:hAnsi="宋体"/>
          <w:b/>
        </w:rPr>
      </w:pPr>
      <w:r>
        <w:rPr>
          <w:rStyle w:val="60"/>
          <w:rFonts w:hint="eastAsia" w:hAnsi="宋体"/>
          <w:b/>
        </w:rPr>
        <w:t>四</w:t>
      </w:r>
      <w:r>
        <w:rPr>
          <w:rStyle w:val="60"/>
          <w:rFonts w:hAnsi="宋体"/>
          <w:b/>
        </w:rPr>
        <w:t>、技术/商务响应与偏离表</w:t>
      </w:r>
    </w:p>
    <w:p>
      <w:pPr>
        <w:pStyle w:val="80"/>
        <w:pageBreakBefore w:val="0"/>
        <w:widowControl/>
        <w:kinsoku/>
        <w:wordWrap/>
        <w:overflowPunct/>
        <w:bidi w:val="0"/>
        <w:snapToGrid w:val="0"/>
        <w:spacing w:line="440" w:lineRule="exact"/>
        <w:rPr>
          <w:rStyle w:val="60"/>
          <w:rFonts w:hAnsi="宋体"/>
          <w:b/>
          <w:szCs w:val="21"/>
        </w:rPr>
      </w:pPr>
      <w:r>
        <w:rPr>
          <w:rStyle w:val="60"/>
          <w:rFonts w:hint="eastAsia" w:hAnsi="宋体"/>
          <w:b/>
          <w:szCs w:val="21"/>
        </w:rPr>
        <w:t>五</w:t>
      </w:r>
      <w:r>
        <w:rPr>
          <w:rStyle w:val="60"/>
          <w:rFonts w:hAnsi="宋体"/>
          <w:b/>
          <w:szCs w:val="21"/>
        </w:rPr>
        <w:t>、提供享受政府采购政策的证明资料</w:t>
      </w:r>
    </w:p>
    <w:p>
      <w:pPr>
        <w:pStyle w:val="80"/>
        <w:pageBreakBefore w:val="0"/>
        <w:widowControl/>
        <w:kinsoku/>
        <w:wordWrap/>
        <w:overflowPunct/>
        <w:bidi w:val="0"/>
        <w:snapToGrid w:val="0"/>
        <w:spacing w:line="440" w:lineRule="exact"/>
        <w:ind w:firstLine="420" w:firstLineChars="200"/>
        <w:rPr>
          <w:rStyle w:val="60"/>
          <w:rFonts w:hAnsi="宋体"/>
          <w:szCs w:val="21"/>
        </w:rPr>
      </w:pPr>
      <w:r>
        <w:rPr>
          <w:rStyle w:val="60"/>
          <w:rFonts w:hAnsi="宋体"/>
          <w:szCs w:val="21"/>
        </w:rPr>
        <w:t>附件</w:t>
      </w:r>
      <w:r>
        <w:rPr>
          <w:rStyle w:val="60"/>
          <w:rFonts w:hint="eastAsia" w:hAnsi="宋体"/>
          <w:szCs w:val="21"/>
        </w:rPr>
        <w:t>7</w:t>
      </w:r>
      <w:r>
        <w:rPr>
          <w:rStyle w:val="60"/>
          <w:rFonts w:hAnsi="宋体"/>
          <w:szCs w:val="21"/>
        </w:rPr>
        <w:t>-1：中小企业声明函</w:t>
      </w:r>
    </w:p>
    <w:p>
      <w:pPr>
        <w:pStyle w:val="80"/>
        <w:pageBreakBefore w:val="0"/>
        <w:widowControl/>
        <w:kinsoku/>
        <w:wordWrap/>
        <w:overflowPunct/>
        <w:bidi w:val="0"/>
        <w:snapToGrid w:val="0"/>
        <w:spacing w:line="440" w:lineRule="exact"/>
        <w:ind w:firstLine="420" w:firstLineChars="200"/>
        <w:rPr>
          <w:rStyle w:val="60"/>
          <w:rFonts w:hAnsi="宋体"/>
          <w:szCs w:val="21"/>
        </w:rPr>
      </w:pPr>
      <w:r>
        <w:rPr>
          <w:rStyle w:val="60"/>
          <w:rFonts w:hAnsi="宋体"/>
          <w:szCs w:val="21"/>
        </w:rPr>
        <w:t>附件</w:t>
      </w:r>
      <w:r>
        <w:rPr>
          <w:rStyle w:val="60"/>
          <w:rFonts w:hint="eastAsia" w:hAnsi="宋体"/>
          <w:szCs w:val="21"/>
        </w:rPr>
        <w:t>7</w:t>
      </w:r>
      <w:r>
        <w:rPr>
          <w:rStyle w:val="60"/>
          <w:rFonts w:hAnsi="宋体"/>
          <w:szCs w:val="21"/>
        </w:rPr>
        <w:t>-2：</w:t>
      </w:r>
      <w:r>
        <w:rPr>
          <w:rStyle w:val="60"/>
          <w:rFonts w:hint="eastAsia" w:hAnsi="宋体"/>
          <w:szCs w:val="21"/>
        </w:rPr>
        <w:t>监狱企业、</w:t>
      </w:r>
      <w:r>
        <w:rPr>
          <w:rStyle w:val="60"/>
          <w:rFonts w:hAnsi="宋体"/>
          <w:szCs w:val="21"/>
        </w:rPr>
        <w:t>残疾人福利性单位声明函</w:t>
      </w:r>
    </w:p>
    <w:p>
      <w:pPr>
        <w:pStyle w:val="80"/>
        <w:pageBreakBefore w:val="0"/>
        <w:widowControl/>
        <w:kinsoku/>
        <w:wordWrap/>
        <w:overflowPunct/>
        <w:bidi w:val="0"/>
        <w:snapToGrid w:val="0"/>
        <w:spacing w:line="440" w:lineRule="exact"/>
        <w:rPr>
          <w:rStyle w:val="60"/>
          <w:rFonts w:hAnsi="宋体"/>
          <w:b/>
          <w:bCs/>
          <w:szCs w:val="21"/>
        </w:rPr>
      </w:pPr>
      <w:r>
        <w:rPr>
          <w:rStyle w:val="60"/>
          <w:rFonts w:hint="eastAsia" w:hAnsi="宋体"/>
          <w:b/>
          <w:bCs/>
          <w:szCs w:val="21"/>
        </w:rPr>
        <w:t>六</w:t>
      </w:r>
      <w:r>
        <w:rPr>
          <w:rStyle w:val="60"/>
          <w:rFonts w:hAnsi="宋体"/>
          <w:b/>
          <w:bCs/>
          <w:szCs w:val="21"/>
        </w:rPr>
        <w:t>、报价一览表及分项价格表</w:t>
      </w:r>
    </w:p>
    <w:p>
      <w:pPr>
        <w:pageBreakBefore w:val="0"/>
        <w:kinsoku/>
        <w:wordWrap/>
        <w:overflowPunct/>
        <w:bidi w:val="0"/>
        <w:snapToGrid w:val="0"/>
        <w:spacing w:line="440" w:lineRule="exact"/>
        <w:ind w:firstLine="420" w:firstLineChars="200"/>
        <w:jc w:val="left"/>
        <w:textAlignment w:val="baseline"/>
        <w:rPr>
          <w:rStyle w:val="60"/>
          <w:rFonts w:ascii="宋体" w:hAnsi="宋体"/>
          <w:bCs/>
          <w:szCs w:val="21"/>
        </w:rPr>
      </w:pPr>
      <w:r>
        <w:rPr>
          <w:rStyle w:val="60"/>
          <w:rFonts w:ascii="宋体" w:hAnsi="宋体"/>
          <w:szCs w:val="21"/>
        </w:rPr>
        <w:t>附件</w:t>
      </w:r>
      <w:r>
        <w:rPr>
          <w:rStyle w:val="60"/>
          <w:rFonts w:hint="eastAsia" w:ascii="宋体" w:hAnsi="宋体"/>
          <w:szCs w:val="21"/>
        </w:rPr>
        <w:t>8</w:t>
      </w:r>
      <w:r>
        <w:rPr>
          <w:rStyle w:val="60"/>
          <w:rFonts w:ascii="宋体" w:hAnsi="宋体"/>
          <w:szCs w:val="21"/>
        </w:rPr>
        <w:t>-1：</w:t>
      </w:r>
      <w:r>
        <w:rPr>
          <w:rStyle w:val="60"/>
          <w:rFonts w:ascii="宋体" w:hAnsi="宋体"/>
          <w:bCs/>
          <w:szCs w:val="21"/>
        </w:rPr>
        <w:t>报价一览表</w:t>
      </w:r>
    </w:p>
    <w:p>
      <w:pPr>
        <w:pageBreakBefore w:val="0"/>
        <w:kinsoku/>
        <w:wordWrap/>
        <w:overflowPunct/>
        <w:bidi w:val="0"/>
        <w:snapToGrid w:val="0"/>
        <w:spacing w:line="440" w:lineRule="exact"/>
        <w:ind w:firstLine="420" w:firstLineChars="200"/>
        <w:jc w:val="left"/>
        <w:textAlignment w:val="baseline"/>
        <w:rPr>
          <w:rStyle w:val="60"/>
          <w:rFonts w:ascii="宋体" w:hAnsi="宋体"/>
          <w:bCs/>
          <w:szCs w:val="21"/>
        </w:rPr>
      </w:pPr>
      <w:r>
        <w:rPr>
          <w:rStyle w:val="60"/>
          <w:rFonts w:ascii="宋体" w:hAnsi="宋体"/>
          <w:szCs w:val="21"/>
        </w:rPr>
        <w:t>附件</w:t>
      </w:r>
      <w:r>
        <w:rPr>
          <w:rStyle w:val="60"/>
          <w:rFonts w:hint="eastAsia" w:ascii="宋体" w:hAnsi="宋体"/>
          <w:szCs w:val="21"/>
        </w:rPr>
        <w:t>8</w:t>
      </w:r>
      <w:r>
        <w:rPr>
          <w:rStyle w:val="60"/>
          <w:rFonts w:ascii="宋体" w:hAnsi="宋体"/>
          <w:szCs w:val="21"/>
        </w:rPr>
        <w:t>-</w:t>
      </w:r>
      <w:r>
        <w:rPr>
          <w:rStyle w:val="60"/>
          <w:rFonts w:hint="eastAsia" w:ascii="宋体" w:hAnsi="宋体"/>
          <w:szCs w:val="21"/>
        </w:rPr>
        <w:t>2</w:t>
      </w:r>
      <w:r>
        <w:rPr>
          <w:rStyle w:val="60"/>
          <w:rFonts w:ascii="宋体" w:hAnsi="宋体"/>
          <w:szCs w:val="21"/>
        </w:rPr>
        <w:t>：</w:t>
      </w:r>
      <w:r>
        <w:rPr>
          <w:rStyle w:val="60"/>
          <w:rFonts w:hint="eastAsia" w:ascii="宋体" w:hAnsi="宋体"/>
          <w:bCs/>
          <w:szCs w:val="21"/>
        </w:rPr>
        <w:t>分项价格表</w:t>
      </w:r>
    </w:p>
    <w:p>
      <w:pPr>
        <w:pStyle w:val="80"/>
        <w:pageBreakBefore w:val="0"/>
        <w:widowControl/>
        <w:kinsoku/>
        <w:wordWrap/>
        <w:overflowPunct/>
        <w:bidi w:val="0"/>
        <w:snapToGrid w:val="0"/>
        <w:spacing w:line="440" w:lineRule="exact"/>
        <w:rPr>
          <w:rStyle w:val="60"/>
          <w:rFonts w:hAnsi="宋体"/>
          <w:b/>
          <w:szCs w:val="21"/>
        </w:rPr>
      </w:pPr>
      <w:r>
        <w:rPr>
          <w:rStyle w:val="60"/>
          <w:rFonts w:hint="eastAsia" w:hAnsi="宋体"/>
          <w:b/>
          <w:szCs w:val="21"/>
        </w:rPr>
        <w:t>七</w:t>
      </w:r>
      <w:r>
        <w:rPr>
          <w:rStyle w:val="60"/>
          <w:rFonts w:hAnsi="宋体"/>
          <w:b/>
          <w:szCs w:val="21"/>
        </w:rPr>
        <w:t>、供应商认为需提供的其它资料</w:t>
      </w:r>
    </w:p>
    <w:p>
      <w:pPr>
        <w:pStyle w:val="80"/>
        <w:pageBreakBefore w:val="0"/>
        <w:widowControl/>
        <w:kinsoku/>
        <w:wordWrap/>
        <w:overflowPunct/>
        <w:bidi w:val="0"/>
        <w:snapToGrid w:val="0"/>
        <w:spacing w:line="440" w:lineRule="exact"/>
        <w:rPr>
          <w:rStyle w:val="60"/>
          <w:rFonts w:hAnsi="宋体"/>
          <w:b/>
          <w:szCs w:val="21"/>
        </w:rPr>
      </w:pPr>
      <w:r>
        <w:rPr>
          <w:rStyle w:val="60"/>
          <w:rFonts w:hint="eastAsia" w:hAnsi="宋体"/>
          <w:b/>
          <w:szCs w:val="21"/>
        </w:rPr>
        <w:t>八</w:t>
      </w:r>
      <w:r>
        <w:rPr>
          <w:rStyle w:val="60"/>
          <w:rFonts w:hAnsi="宋体"/>
          <w:b/>
          <w:szCs w:val="21"/>
        </w:rPr>
        <w:t>、最后报价</w:t>
      </w:r>
    </w:p>
    <w:p>
      <w:pPr>
        <w:pageBreakBefore w:val="0"/>
        <w:kinsoku/>
        <w:wordWrap/>
        <w:overflowPunct/>
        <w:bidi w:val="0"/>
        <w:adjustRightInd w:val="0"/>
        <w:snapToGrid w:val="0"/>
        <w:spacing w:line="440" w:lineRule="exact"/>
        <w:rPr>
          <w:rFonts w:ascii="宋体" w:hAnsi="宋体"/>
          <w:b/>
          <w:szCs w:val="21"/>
        </w:rPr>
      </w:pPr>
    </w:p>
    <w:p>
      <w:pPr>
        <w:pageBreakBefore w:val="0"/>
        <w:kinsoku/>
        <w:wordWrap/>
        <w:overflowPunct/>
        <w:bidi w:val="0"/>
        <w:spacing w:line="440" w:lineRule="exact"/>
        <w:rPr>
          <w:rFonts w:ascii="宋体" w:hAnsi="宋体" w:cs="宋体"/>
          <w:b/>
          <w:sz w:val="32"/>
          <w:szCs w:val="32"/>
        </w:rPr>
      </w:pPr>
    </w:p>
    <w:p>
      <w:pPr>
        <w:pageBreakBefore w:val="0"/>
        <w:kinsoku/>
        <w:wordWrap/>
        <w:overflowPunct/>
        <w:bidi w:val="0"/>
        <w:spacing w:line="440" w:lineRule="exact"/>
        <w:jc w:val="center"/>
        <w:rPr>
          <w:rFonts w:ascii="宋体" w:hAnsi="宋体" w:cs="宋体"/>
          <w:b/>
          <w:sz w:val="32"/>
          <w:szCs w:val="32"/>
        </w:rPr>
      </w:pPr>
    </w:p>
    <w:p>
      <w:pPr>
        <w:pStyle w:val="7"/>
      </w:pPr>
    </w:p>
    <w:p/>
    <w:p>
      <w:pPr>
        <w:pStyle w:val="8"/>
      </w:pPr>
    </w:p>
    <w:p/>
    <w:p>
      <w:pPr>
        <w:pStyle w:val="8"/>
      </w:pPr>
    </w:p>
    <w:p/>
    <w:p>
      <w:pPr>
        <w:pStyle w:val="8"/>
      </w:pPr>
    </w:p>
    <w:p>
      <w:pPr>
        <w:pageBreakBefore w:val="0"/>
        <w:kinsoku/>
        <w:wordWrap/>
        <w:overflowPunct/>
        <w:bidi w:val="0"/>
        <w:spacing w:line="440" w:lineRule="exact"/>
        <w:jc w:val="center"/>
        <w:rPr>
          <w:rFonts w:ascii="宋体" w:hAnsi="宋体" w:cs="宋体"/>
          <w:sz w:val="24"/>
        </w:rPr>
      </w:pPr>
      <w:r>
        <w:rPr>
          <w:rFonts w:hint="eastAsia" w:ascii="宋体" w:hAnsi="宋体" w:cs="宋体"/>
          <w:b/>
          <w:sz w:val="32"/>
          <w:szCs w:val="32"/>
        </w:rPr>
        <w:t>一、磋商响应声明</w:t>
      </w:r>
    </w:p>
    <w:p>
      <w:pPr>
        <w:pageBreakBefore w:val="0"/>
        <w:kinsoku/>
        <w:wordWrap/>
        <w:overflowPunct/>
        <w:bidi w:val="0"/>
        <w:adjustRightInd w:val="0"/>
        <w:snapToGrid w:val="0"/>
        <w:spacing w:line="44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 (采购人或采购代理机构)：</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我方已仔细研究了</w:t>
      </w:r>
      <w:r>
        <w:rPr>
          <w:rFonts w:hint="eastAsia" w:ascii="宋体" w:hAnsi="宋体" w:cs="宋体"/>
          <w:szCs w:val="21"/>
          <w:u w:val="single"/>
        </w:rPr>
        <w:t xml:space="preserve">                 (</w:t>
      </w:r>
      <w:r>
        <w:rPr>
          <w:rFonts w:hint="eastAsia" w:ascii="宋体" w:hAnsi="宋体" w:cs="宋体"/>
          <w:szCs w:val="21"/>
        </w:rPr>
        <w:t>项目名称)的竞争性磋商文件（政府采购编号：</w:t>
      </w:r>
      <w:r>
        <w:rPr>
          <w:rFonts w:hint="eastAsia" w:ascii="宋体" w:hAnsi="宋体" w:cs="宋体"/>
          <w:szCs w:val="21"/>
          <w:u w:val="single"/>
        </w:rPr>
        <w:t xml:space="preserve">            </w:t>
      </w:r>
      <w:r>
        <w:rPr>
          <w:rFonts w:hint="eastAsia" w:ascii="宋体" w:hAnsi="宋体" w:cs="宋体"/>
          <w:szCs w:val="21"/>
        </w:rPr>
        <w:t xml:space="preserve"> ；委托代理编号：</w:t>
      </w:r>
      <w:r>
        <w:rPr>
          <w:rFonts w:hint="eastAsia" w:ascii="宋体" w:hAnsi="宋体" w:cs="宋体"/>
          <w:szCs w:val="21"/>
          <w:u w:val="single"/>
        </w:rPr>
        <w:t xml:space="preserve">           </w:t>
      </w:r>
      <w:r>
        <w:rPr>
          <w:rFonts w:hint="eastAsia" w:ascii="宋体" w:hAnsi="宋体" w:cs="宋体"/>
          <w:szCs w:val="21"/>
        </w:rPr>
        <w:t>）的全部内容，</w:t>
      </w:r>
      <w:r>
        <w:rPr>
          <w:rFonts w:hint="eastAsia" w:ascii="宋体" w:hAnsi="宋体" w:cs="宋体"/>
        </w:rPr>
        <w:t>知悉参加竞争性磋商的风险，我方承诺接受磋商文件的全部条款且无任何异议。</w:t>
      </w:r>
    </w:p>
    <w:p>
      <w:pPr>
        <w:pStyle w:val="18"/>
        <w:pageBreakBefore w:val="0"/>
        <w:kinsoku/>
        <w:wordWrap/>
        <w:overflowPunct/>
        <w:bidi w:val="0"/>
        <w:adjustRightInd w:val="0"/>
        <w:snapToGrid w:val="0"/>
        <w:spacing w:line="440" w:lineRule="exact"/>
        <w:ind w:firstLine="420" w:firstLineChars="200"/>
        <w:rPr>
          <w:rFonts w:hAnsi="宋体" w:cs="宋体"/>
        </w:rPr>
      </w:pPr>
      <w:r>
        <w:rPr>
          <w:rFonts w:hint="eastAsia" w:hAnsi="宋体" w:cs="宋体"/>
        </w:rPr>
        <w:t>一、我方同意在磋商文件中规定的提交首次响应文件截止时间起</w:t>
      </w:r>
      <w:r>
        <w:rPr>
          <w:rFonts w:hint="eastAsia" w:hAnsi="宋体" w:cs="宋体"/>
          <w:u w:val="single"/>
        </w:rPr>
        <w:t xml:space="preserve">    </w:t>
      </w:r>
      <w:r>
        <w:rPr>
          <w:rFonts w:hint="eastAsia" w:hAnsi="宋体" w:cs="宋体"/>
        </w:rPr>
        <w:t>日内(响应文件有效期)遵守本响应文件中的承诺且在此期限期满之前均具有法律约束力。</w:t>
      </w:r>
    </w:p>
    <w:p>
      <w:pPr>
        <w:pStyle w:val="18"/>
        <w:pageBreakBefore w:val="0"/>
        <w:kinsoku/>
        <w:wordWrap/>
        <w:overflowPunct/>
        <w:bidi w:val="0"/>
        <w:adjustRightInd w:val="0"/>
        <w:snapToGrid w:val="0"/>
        <w:spacing w:line="440" w:lineRule="exact"/>
        <w:ind w:firstLine="420" w:firstLineChars="200"/>
        <w:rPr>
          <w:rFonts w:hAnsi="宋体" w:cs="宋体"/>
        </w:rPr>
      </w:pPr>
      <w:r>
        <w:rPr>
          <w:rFonts w:hint="eastAsia" w:hAnsi="宋体" w:cs="宋体"/>
        </w:rPr>
        <w:t>二、我方提交响应文件正本一份和副本一式</w:t>
      </w:r>
      <w:r>
        <w:rPr>
          <w:rFonts w:hint="eastAsia" w:hAnsi="宋体" w:cs="宋体"/>
          <w:u w:val="single"/>
        </w:rPr>
        <w:t xml:space="preserve">     </w:t>
      </w:r>
      <w:r>
        <w:rPr>
          <w:rFonts w:hint="eastAsia" w:hAnsi="宋体" w:cs="宋体"/>
        </w:rPr>
        <w:t>份，并保证响应文件提供的数据和资料全部内容真实、合法、准确和完整，我们对此负责，并愿承担由此引起的法律责任。</w:t>
      </w:r>
    </w:p>
    <w:p>
      <w:pPr>
        <w:pStyle w:val="18"/>
        <w:pageBreakBefore w:val="0"/>
        <w:kinsoku/>
        <w:wordWrap/>
        <w:overflowPunct/>
        <w:bidi w:val="0"/>
        <w:adjustRightInd w:val="0"/>
        <w:snapToGrid w:val="0"/>
        <w:spacing w:line="440" w:lineRule="exact"/>
        <w:ind w:firstLine="420" w:firstLineChars="200"/>
        <w:rPr>
          <w:rFonts w:hAnsi="宋体" w:cs="宋体"/>
        </w:rPr>
      </w:pPr>
      <w:r>
        <w:rPr>
          <w:rFonts w:hint="eastAsia" w:hAnsi="宋体" w:cs="宋体"/>
        </w:rPr>
        <w:t>三、我方愿意向贵方提供任何与本项采购有关的数据、情况和技术资料。若贵方需要，我方愿意提供我方作出的一切承诺的证明资料。</w:t>
      </w:r>
    </w:p>
    <w:p>
      <w:pPr>
        <w:pStyle w:val="18"/>
        <w:pageBreakBefore w:val="0"/>
        <w:kinsoku/>
        <w:wordWrap/>
        <w:overflowPunct/>
        <w:bidi w:val="0"/>
        <w:adjustRightInd w:val="0"/>
        <w:snapToGrid w:val="0"/>
        <w:spacing w:line="440" w:lineRule="exact"/>
        <w:ind w:firstLine="420" w:firstLineChars="200"/>
        <w:rPr>
          <w:rFonts w:hAnsi="宋体" w:cs="宋体"/>
        </w:rPr>
      </w:pPr>
      <w:r>
        <w:rPr>
          <w:rFonts w:hint="eastAsia" w:hAnsi="宋体" w:cs="宋体"/>
        </w:rPr>
        <w:t>四、我方愿意按磋商文件规定和磋商小组要求重新提交响应文件和最后报价。</w:t>
      </w:r>
    </w:p>
    <w:p>
      <w:pPr>
        <w:pStyle w:val="18"/>
        <w:pageBreakBefore w:val="0"/>
        <w:kinsoku/>
        <w:wordWrap/>
        <w:overflowPunct/>
        <w:bidi w:val="0"/>
        <w:adjustRightInd w:val="0"/>
        <w:snapToGrid w:val="0"/>
        <w:spacing w:line="440" w:lineRule="exact"/>
        <w:ind w:firstLine="420" w:firstLineChars="200"/>
        <w:rPr>
          <w:rFonts w:hAnsi="宋体" w:cs="宋体"/>
        </w:rPr>
      </w:pPr>
      <w:r>
        <w:rPr>
          <w:rFonts w:hint="eastAsia" w:hAnsi="宋体" w:cs="宋体"/>
        </w:rPr>
        <w:t>五、我方承诺遵守《中华人民共和国政府采购法》的有关规定，保证在获得成交资格后，按照磋商文件确定的事项签订政府采购合同，履行双方所签订的合同，并承担合同规定的责任和义务。</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rPr>
        <w:t>六、</w:t>
      </w:r>
      <w:r>
        <w:rPr>
          <w:rFonts w:hint="eastAsia" w:hAnsi="宋体" w:cs="宋体"/>
          <w:color w:val="000000"/>
        </w:rPr>
        <w:t xml:space="preserve">我方在此声明： </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（一）我方与采购人或采购代理机构不存在隶属关系或者其他利害关系。</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（二）我方与参加本项目的其他供应商不存在直接控股、管理关系，或者与其他供应商法定代表人（或者负责人）为同一人。</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（三）我方未为本项目前期准备提供设计或咨询服务。</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（四）我方承诺（承诺期：成立三年以上的，为提交首次响应文件截止时间前三年内；成立不足三年的，为实际时间）：</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1、我方依法缴纳了各项税费及各项社会保障资金，没有偷税、漏税及欠缴行为。</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2、我方在经营活动中没有存在下列重大违法记录：</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(1)受到刑事处罚；</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(2)受到三万元以上的罚款、责令停产停业、在一至三年内禁止参加政府采购活动、暂扣或者吊销许可证、暂扣或者吊销执照的行政处罚。</w:t>
      </w:r>
    </w:p>
    <w:p>
      <w:pPr>
        <w:pageBreakBefore w:val="0"/>
        <w:kinsoku/>
        <w:wordWrap/>
        <w:overflowPunct/>
        <w:bidi w:val="0"/>
        <w:adjustRightInd w:val="0"/>
        <w:snapToGrid w:val="0"/>
        <w:spacing w:line="440" w:lineRule="exact"/>
        <w:ind w:right="24"/>
        <w:rPr>
          <w:rFonts w:ascii="宋体" w:hAnsi="宋体" w:cs="宋体"/>
          <w:szCs w:val="21"/>
        </w:rPr>
      </w:pPr>
      <w:r>
        <w:rPr>
          <w:rFonts w:hint="eastAsia" w:ascii="宋体" w:hAnsi="宋体" w:cs="宋体"/>
          <w:bCs/>
          <w:szCs w:val="21"/>
        </w:rPr>
        <w:t>附件1：</w:t>
      </w:r>
      <w:r>
        <w:rPr>
          <w:rFonts w:hint="eastAsia" w:ascii="宋体" w:hAnsi="宋体" w:cs="宋体"/>
          <w:szCs w:val="21"/>
        </w:rPr>
        <w:t>法定代表人身份证明</w:t>
      </w:r>
    </w:p>
    <w:p>
      <w:pPr>
        <w:pageBreakBefore w:val="0"/>
        <w:kinsoku/>
        <w:wordWrap/>
        <w:overflowPunct/>
        <w:bidi w:val="0"/>
        <w:adjustRightInd w:val="0"/>
        <w:snapToGrid w:val="0"/>
        <w:spacing w:line="440" w:lineRule="exact"/>
        <w:ind w:right="24"/>
        <w:rPr>
          <w:rFonts w:ascii="宋体" w:hAnsi="宋体" w:cs="宋体"/>
          <w:szCs w:val="21"/>
        </w:rPr>
      </w:pPr>
      <w:r>
        <w:rPr>
          <w:rFonts w:hint="eastAsia" w:ascii="宋体" w:hAnsi="宋体" w:cs="宋体"/>
          <w:bCs/>
          <w:szCs w:val="21"/>
        </w:rPr>
        <w:t>附件2</w:t>
      </w:r>
      <w:r>
        <w:rPr>
          <w:rFonts w:hint="eastAsia" w:ascii="宋体" w:hAnsi="宋体" w:cs="宋体"/>
          <w:szCs w:val="21"/>
        </w:rPr>
        <w:t>：法定代表人授权书</w:t>
      </w:r>
    </w:p>
    <w:p>
      <w:pPr>
        <w:pStyle w:val="18"/>
        <w:pageBreakBefore w:val="0"/>
        <w:kinsoku/>
        <w:wordWrap/>
        <w:overflowPunct/>
        <w:bidi w:val="0"/>
        <w:adjustRightInd w:val="0"/>
        <w:snapToGrid w:val="0"/>
        <w:spacing w:line="440" w:lineRule="exact"/>
        <w:rPr>
          <w:rFonts w:hAnsi="宋体" w:cs="宋体"/>
        </w:rPr>
      </w:pPr>
    </w:p>
    <w:p>
      <w:pPr>
        <w:pStyle w:val="18"/>
        <w:pageBreakBefore w:val="0"/>
        <w:kinsoku/>
        <w:wordWrap/>
        <w:overflowPunct/>
        <w:bidi w:val="0"/>
        <w:adjustRightInd w:val="0"/>
        <w:snapToGrid w:val="0"/>
        <w:spacing w:line="440" w:lineRule="exact"/>
        <w:rPr>
          <w:rFonts w:hAnsi="宋体" w:cs="宋体"/>
        </w:rPr>
      </w:pPr>
      <w:r>
        <w:rPr>
          <w:rFonts w:hint="eastAsia" w:hAnsi="宋体" w:cs="宋体"/>
        </w:rPr>
        <w:t>供应商名称(盖单位章)：</w:t>
      </w:r>
    </w:p>
    <w:p>
      <w:pPr>
        <w:pageBreakBefore w:val="0"/>
        <w:kinsoku/>
        <w:wordWrap/>
        <w:overflowPunct/>
        <w:bidi w:val="0"/>
        <w:adjustRightInd w:val="0"/>
        <w:snapToGrid w:val="0"/>
        <w:spacing w:line="440" w:lineRule="exact"/>
        <w:rPr>
          <w:rFonts w:ascii="宋体" w:hAnsi="宋体" w:cs="宋体"/>
          <w:szCs w:val="21"/>
        </w:rPr>
      </w:pPr>
      <w:r>
        <w:rPr>
          <w:rFonts w:hint="eastAsia" w:ascii="宋体" w:hAnsi="宋体" w:cs="宋体"/>
          <w:szCs w:val="21"/>
        </w:rPr>
        <w:t>法定代表人或其委托代理人 (签字)：</w:t>
      </w:r>
      <w:r>
        <w:rPr>
          <w:rFonts w:hint="eastAsia" w:ascii="宋体" w:hAnsi="宋体" w:cs="宋体"/>
          <w:szCs w:val="21"/>
          <w:u w:val="single"/>
        </w:rPr>
        <w:t xml:space="preserve">            </w:t>
      </w:r>
    </w:p>
    <w:p>
      <w:pPr>
        <w:pageBreakBefore w:val="0"/>
        <w:kinsoku/>
        <w:wordWrap/>
        <w:overflowPunct/>
        <w:bidi w:val="0"/>
        <w:adjustRightInd w:val="0"/>
        <w:snapToGrid w:val="0"/>
        <w:spacing w:line="440" w:lineRule="exact"/>
        <w:rPr>
          <w:rFonts w:ascii="宋体" w:hAnsi="宋体"/>
          <w:b/>
          <w:bCs/>
          <w:sz w:val="36"/>
          <w:szCs w:val="36"/>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8"/>
        <w:pageBreakBefore w:val="0"/>
        <w:kinsoku/>
        <w:wordWrap/>
        <w:overflowPunct/>
        <w:bidi w:val="0"/>
        <w:spacing w:line="440" w:lineRule="exact"/>
        <w:rPr>
          <w:rFonts w:ascii="宋体" w:hAnsi="宋体"/>
          <w:sz w:val="36"/>
          <w:szCs w:val="36"/>
        </w:rPr>
      </w:pPr>
      <w:r>
        <w:rPr>
          <w:rFonts w:hint="eastAsia" w:ascii="宋体" w:hAnsi="宋体" w:cs="微软雅黑"/>
          <w:b w:val="0"/>
          <w:bCs w:val="0"/>
          <w:kern w:val="0"/>
          <w:sz w:val="21"/>
          <w:szCs w:val="21"/>
        </w:rPr>
        <w:t>附件1</w:t>
      </w:r>
    </w:p>
    <w:p>
      <w:pPr>
        <w:pageBreakBefore w:val="0"/>
        <w:kinsoku/>
        <w:wordWrap/>
        <w:overflowPunct/>
        <w:bidi w:val="0"/>
        <w:spacing w:before="240" w:beforeLines="100" w:line="440" w:lineRule="exact"/>
        <w:jc w:val="center"/>
        <w:rPr>
          <w:rFonts w:ascii="宋体" w:hAnsi="宋体"/>
          <w:b/>
          <w:bCs/>
          <w:sz w:val="36"/>
          <w:szCs w:val="36"/>
        </w:rPr>
      </w:pPr>
      <w:r>
        <w:rPr>
          <w:rFonts w:hint="eastAsia" w:ascii="宋体" w:hAnsi="宋体"/>
          <w:b/>
          <w:bCs/>
          <w:sz w:val="36"/>
          <w:szCs w:val="36"/>
        </w:rPr>
        <w:t>法定代表人身份证明</w:t>
      </w:r>
    </w:p>
    <w:p>
      <w:pPr>
        <w:pageBreakBefore w:val="0"/>
        <w:kinsoku/>
        <w:wordWrap/>
        <w:overflowPunct/>
        <w:bidi w:val="0"/>
        <w:snapToGrid w:val="0"/>
        <w:spacing w:line="440" w:lineRule="exact"/>
        <w:rPr>
          <w:rFonts w:ascii="宋体" w:hAnsi="宋体"/>
          <w:szCs w:val="21"/>
        </w:rPr>
      </w:pPr>
      <w:r>
        <w:rPr>
          <w:rFonts w:hint="eastAsia" w:ascii="宋体" w:hAnsi="宋体"/>
        </w:rPr>
        <w:t xml:space="preserve"> </w:t>
      </w:r>
    </w:p>
    <w:p>
      <w:pPr>
        <w:pageBreakBefore w:val="0"/>
        <w:tabs>
          <w:tab w:val="left" w:pos="3880"/>
        </w:tabs>
        <w:kinsoku/>
        <w:wordWrap/>
        <w:overflowPunct/>
        <w:autoSpaceDE w:val="0"/>
        <w:autoSpaceDN w:val="0"/>
        <w:bidi w:val="0"/>
        <w:adjustRightInd w:val="0"/>
        <w:snapToGrid w:val="0"/>
        <w:spacing w:before="120" w:beforeLines="50" w:line="440" w:lineRule="exact"/>
        <w:ind w:left="100" w:right="-20"/>
        <w:jc w:val="left"/>
        <w:rPr>
          <w:rFonts w:ascii="宋体" w:hAnsi="宋体" w:cs="微软雅黑"/>
          <w:kern w:val="0"/>
          <w:szCs w:val="21"/>
        </w:rPr>
      </w:pPr>
      <w:r>
        <w:rPr>
          <w:rFonts w:hint="eastAsia" w:ascii="宋体" w:hAnsi="宋体" w:cs="微软雅黑"/>
          <w:kern w:val="0"/>
          <w:position w:val="-4"/>
          <w:szCs w:val="21"/>
        </w:rPr>
        <w:t>供应商名</w:t>
      </w:r>
      <w:r>
        <w:rPr>
          <w:rFonts w:hint="eastAsia" w:ascii="宋体" w:hAnsi="宋体" w:cs="微软雅黑"/>
          <w:spacing w:val="-2"/>
          <w:kern w:val="0"/>
          <w:position w:val="-4"/>
          <w:szCs w:val="21"/>
        </w:rPr>
        <w:t>称</w:t>
      </w:r>
      <w:r>
        <w:rPr>
          <w:rFonts w:hint="eastAsia" w:ascii="宋体" w:hAnsi="宋体" w:cs="微软雅黑"/>
          <w:kern w:val="0"/>
          <w:position w:val="-4"/>
          <w:szCs w:val="21"/>
        </w:rPr>
        <w:t>：</w:t>
      </w:r>
      <w:r>
        <w:rPr>
          <w:rFonts w:hint="eastAsia" w:ascii="宋体" w:hAnsi="宋体"/>
          <w:szCs w:val="21"/>
          <w:u w:val="single"/>
        </w:rPr>
        <w:t xml:space="preserve">                 </w:t>
      </w:r>
    </w:p>
    <w:p>
      <w:pPr>
        <w:pageBreakBefore w:val="0"/>
        <w:tabs>
          <w:tab w:val="left" w:pos="2400"/>
          <w:tab w:val="left" w:pos="3880"/>
          <w:tab w:val="left" w:pos="5340"/>
          <w:tab w:val="left" w:pos="6820"/>
        </w:tabs>
        <w:kinsoku/>
        <w:wordWrap/>
        <w:overflowPunct/>
        <w:autoSpaceDE w:val="0"/>
        <w:autoSpaceDN w:val="0"/>
        <w:bidi w:val="0"/>
        <w:adjustRightInd w:val="0"/>
        <w:snapToGrid w:val="0"/>
        <w:spacing w:before="120" w:beforeLines="50" w:line="440" w:lineRule="exact"/>
        <w:ind w:left="100" w:right="-20"/>
        <w:jc w:val="left"/>
        <w:rPr>
          <w:rFonts w:ascii="宋体" w:hAnsi="宋体" w:cs="微软雅黑"/>
          <w:kern w:val="0"/>
          <w:position w:val="-2"/>
          <w:szCs w:val="21"/>
        </w:rPr>
      </w:pPr>
      <w:r>
        <w:rPr>
          <w:rFonts w:hint="eastAsia" w:ascii="宋体" w:hAnsi="宋体" w:cs="微软雅黑"/>
          <w:kern w:val="0"/>
          <w:position w:val="-2"/>
          <w:szCs w:val="21"/>
        </w:rPr>
        <w:t>统一社会信用代码：</w:t>
      </w:r>
      <w:r>
        <w:rPr>
          <w:rFonts w:hint="eastAsia" w:ascii="宋体" w:hAnsi="宋体"/>
          <w:szCs w:val="21"/>
          <w:u w:val="single"/>
        </w:rPr>
        <w:t xml:space="preserve">                 </w:t>
      </w:r>
    </w:p>
    <w:p>
      <w:pPr>
        <w:pageBreakBefore w:val="0"/>
        <w:tabs>
          <w:tab w:val="left" w:pos="2400"/>
          <w:tab w:val="left" w:pos="3880"/>
          <w:tab w:val="left" w:pos="5340"/>
          <w:tab w:val="left" w:pos="6820"/>
        </w:tabs>
        <w:kinsoku/>
        <w:wordWrap/>
        <w:overflowPunct/>
        <w:autoSpaceDE w:val="0"/>
        <w:autoSpaceDN w:val="0"/>
        <w:bidi w:val="0"/>
        <w:adjustRightInd w:val="0"/>
        <w:snapToGrid w:val="0"/>
        <w:spacing w:before="120" w:beforeLines="50" w:line="440" w:lineRule="exact"/>
        <w:ind w:left="100" w:right="-20"/>
        <w:jc w:val="left"/>
        <w:rPr>
          <w:rFonts w:ascii="宋体" w:hAnsi="宋体" w:cs="微软雅黑"/>
          <w:kern w:val="0"/>
          <w:position w:val="-2"/>
          <w:szCs w:val="21"/>
        </w:rPr>
      </w:pPr>
      <w:r>
        <w:rPr>
          <w:rFonts w:hint="eastAsia" w:ascii="宋体" w:hAnsi="宋体" w:cs="微软雅黑"/>
          <w:kern w:val="0"/>
          <w:position w:val="-2"/>
          <w:szCs w:val="21"/>
        </w:rPr>
        <w:t>注册地址：</w:t>
      </w:r>
      <w:r>
        <w:rPr>
          <w:rFonts w:hint="eastAsia" w:ascii="宋体" w:hAnsi="宋体"/>
          <w:szCs w:val="21"/>
          <w:u w:val="single"/>
        </w:rPr>
        <w:t xml:space="preserve">                 </w:t>
      </w:r>
    </w:p>
    <w:p>
      <w:pPr>
        <w:pageBreakBefore w:val="0"/>
        <w:tabs>
          <w:tab w:val="left" w:pos="2400"/>
          <w:tab w:val="left" w:pos="3880"/>
          <w:tab w:val="left" w:pos="5340"/>
          <w:tab w:val="left" w:pos="6820"/>
        </w:tabs>
        <w:kinsoku/>
        <w:wordWrap/>
        <w:overflowPunct/>
        <w:autoSpaceDE w:val="0"/>
        <w:autoSpaceDN w:val="0"/>
        <w:bidi w:val="0"/>
        <w:adjustRightInd w:val="0"/>
        <w:snapToGrid w:val="0"/>
        <w:spacing w:before="120" w:beforeLines="50" w:line="440" w:lineRule="exact"/>
        <w:ind w:left="102" w:right="-23" w:firstLine="420" w:firstLineChars="200"/>
        <w:jc w:val="left"/>
        <w:rPr>
          <w:rFonts w:ascii="宋体" w:hAnsi="宋体" w:cs="微软雅黑"/>
          <w:kern w:val="0"/>
          <w:szCs w:val="21"/>
        </w:rPr>
      </w:pPr>
      <w:r>
        <w:rPr>
          <w:rFonts w:hint="eastAsia" w:ascii="宋体" w:hAnsi="宋体" w:cs="微软雅黑"/>
          <w:kern w:val="0"/>
          <w:position w:val="-2"/>
          <w:szCs w:val="21"/>
        </w:rPr>
        <w:t>姓名</w:t>
      </w:r>
      <w:r>
        <w:rPr>
          <w:rFonts w:hint="eastAsia" w:ascii="宋体" w:hAnsi="宋体" w:cs="微软雅黑"/>
          <w:spacing w:val="-2"/>
          <w:kern w:val="0"/>
          <w:position w:val="-2"/>
          <w:szCs w:val="21"/>
        </w:rPr>
        <w:t>：</w:t>
      </w:r>
      <w:r>
        <w:rPr>
          <w:rFonts w:hint="eastAsia" w:ascii="宋体" w:hAnsi="宋体"/>
          <w:szCs w:val="21"/>
          <w:u w:val="single"/>
        </w:rPr>
        <w:t xml:space="preserve">         </w:t>
      </w:r>
      <w:r>
        <w:rPr>
          <w:rFonts w:hint="eastAsia" w:ascii="宋体" w:hAnsi="宋体" w:cs="微软雅黑"/>
          <w:kern w:val="0"/>
          <w:position w:val="-2"/>
          <w:szCs w:val="21"/>
        </w:rPr>
        <w:t>性别</w:t>
      </w:r>
      <w:r>
        <w:rPr>
          <w:rFonts w:hint="eastAsia" w:ascii="宋体" w:hAnsi="宋体" w:cs="微软雅黑"/>
          <w:spacing w:val="-2"/>
          <w:kern w:val="0"/>
          <w:position w:val="-2"/>
          <w:szCs w:val="21"/>
        </w:rPr>
        <w:t>：</w:t>
      </w:r>
      <w:r>
        <w:rPr>
          <w:rFonts w:hint="eastAsia" w:ascii="宋体" w:hAnsi="宋体"/>
          <w:szCs w:val="21"/>
          <w:u w:val="single"/>
        </w:rPr>
        <w:t xml:space="preserve">         </w:t>
      </w:r>
      <w:r>
        <w:rPr>
          <w:rFonts w:hint="eastAsia" w:ascii="宋体" w:hAnsi="宋体" w:cs="微软雅黑"/>
          <w:kern w:val="0"/>
          <w:position w:val="-2"/>
          <w:szCs w:val="21"/>
        </w:rPr>
        <w:t>年</w:t>
      </w:r>
      <w:r>
        <w:rPr>
          <w:rFonts w:hint="eastAsia" w:ascii="宋体" w:hAnsi="宋体" w:cs="微软雅黑"/>
          <w:spacing w:val="-2"/>
          <w:kern w:val="0"/>
          <w:position w:val="-2"/>
          <w:szCs w:val="21"/>
        </w:rPr>
        <w:t>龄</w:t>
      </w:r>
      <w:r>
        <w:rPr>
          <w:rFonts w:hint="eastAsia" w:ascii="宋体" w:hAnsi="宋体" w:cs="微软雅黑"/>
          <w:kern w:val="0"/>
          <w:position w:val="-2"/>
          <w:szCs w:val="21"/>
        </w:rPr>
        <w:t>：</w:t>
      </w:r>
      <w:r>
        <w:rPr>
          <w:rFonts w:hint="eastAsia" w:ascii="宋体" w:hAnsi="宋体"/>
          <w:szCs w:val="21"/>
          <w:u w:val="single"/>
        </w:rPr>
        <w:t xml:space="preserve">         </w:t>
      </w:r>
      <w:r>
        <w:rPr>
          <w:rFonts w:hint="eastAsia" w:ascii="宋体" w:hAnsi="宋体" w:cs="微软雅黑"/>
          <w:kern w:val="0"/>
          <w:position w:val="-2"/>
          <w:szCs w:val="21"/>
        </w:rPr>
        <w:t>职</w:t>
      </w:r>
      <w:r>
        <w:rPr>
          <w:rFonts w:hint="eastAsia" w:ascii="宋体" w:hAnsi="宋体" w:cs="微软雅黑"/>
          <w:spacing w:val="-2"/>
          <w:kern w:val="0"/>
          <w:position w:val="-2"/>
          <w:szCs w:val="21"/>
        </w:rPr>
        <w:t>务</w:t>
      </w:r>
      <w:r>
        <w:rPr>
          <w:rFonts w:hint="eastAsia" w:ascii="宋体" w:hAnsi="宋体" w:cs="微软雅黑"/>
          <w:kern w:val="0"/>
          <w:position w:val="-2"/>
          <w:szCs w:val="21"/>
        </w:rPr>
        <w:t>：</w:t>
      </w:r>
      <w:r>
        <w:rPr>
          <w:rFonts w:hint="eastAsia" w:ascii="宋体" w:hAnsi="宋体"/>
          <w:szCs w:val="21"/>
          <w:u w:val="single"/>
        </w:rPr>
        <w:t xml:space="preserve">         </w:t>
      </w:r>
      <w:r>
        <w:rPr>
          <w:rFonts w:hint="eastAsia" w:ascii="宋体" w:hAnsi="宋体" w:cs="微软雅黑"/>
          <w:kern w:val="0"/>
          <w:position w:val="-2"/>
          <w:szCs w:val="21"/>
        </w:rPr>
        <w:t>系</w:t>
      </w:r>
      <w:r>
        <w:rPr>
          <w:rFonts w:hint="eastAsia" w:ascii="宋体" w:hAnsi="宋体"/>
          <w:szCs w:val="21"/>
          <w:u w:val="single"/>
        </w:rPr>
        <w:t xml:space="preserve">         </w:t>
      </w:r>
      <w:r>
        <w:rPr>
          <w:rFonts w:hint="eastAsia" w:ascii="宋体" w:hAnsi="宋体" w:cs="微软雅黑"/>
          <w:spacing w:val="-2"/>
          <w:kern w:val="0"/>
          <w:position w:val="-2"/>
          <w:szCs w:val="21"/>
        </w:rPr>
        <w:t>（</w:t>
      </w:r>
      <w:r>
        <w:rPr>
          <w:rFonts w:hint="eastAsia" w:ascii="宋体" w:hAnsi="宋体" w:cs="微软雅黑"/>
          <w:kern w:val="0"/>
          <w:position w:val="-2"/>
          <w:szCs w:val="21"/>
        </w:rPr>
        <w:t>供应商</w:t>
      </w:r>
      <w:r>
        <w:rPr>
          <w:rFonts w:hint="eastAsia" w:ascii="宋体" w:hAnsi="宋体" w:cs="微软雅黑"/>
          <w:spacing w:val="-2"/>
          <w:kern w:val="0"/>
          <w:position w:val="-2"/>
          <w:szCs w:val="21"/>
        </w:rPr>
        <w:t>名</w:t>
      </w:r>
      <w:r>
        <w:rPr>
          <w:rFonts w:hint="eastAsia" w:ascii="宋体" w:hAnsi="宋体" w:cs="微软雅黑"/>
          <w:kern w:val="0"/>
          <w:position w:val="-2"/>
          <w:szCs w:val="21"/>
        </w:rPr>
        <w:t>称</w:t>
      </w:r>
      <w:r>
        <w:rPr>
          <w:rFonts w:hint="eastAsia" w:ascii="宋体" w:hAnsi="宋体" w:cs="微软雅黑"/>
          <w:spacing w:val="-2"/>
          <w:kern w:val="0"/>
          <w:position w:val="-2"/>
          <w:szCs w:val="21"/>
        </w:rPr>
        <w:t>）</w:t>
      </w:r>
      <w:r>
        <w:rPr>
          <w:rFonts w:hint="eastAsia" w:ascii="宋体" w:hAnsi="宋体" w:cs="微软雅黑"/>
          <w:kern w:val="0"/>
          <w:position w:val="-2"/>
          <w:szCs w:val="21"/>
        </w:rPr>
        <w:t>的</w:t>
      </w:r>
      <w:r>
        <w:rPr>
          <w:rFonts w:hint="eastAsia" w:ascii="宋体" w:hAnsi="宋体" w:cs="微软雅黑"/>
          <w:spacing w:val="-2"/>
          <w:kern w:val="0"/>
          <w:position w:val="-2"/>
          <w:szCs w:val="21"/>
        </w:rPr>
        <w:t>法定</w:t>
      </w:r>
      <w:r>
        <w:rPr>
          <w:rFonts w:hint="eastAsia" w:ascii="宋体" w:hAnsi="宋体" w:cs="微软雅黑"/>
          <w:kern w:val="0"/>
          <w:position w:val="-2"/>
          <w:szCs w:val="21"/>
        </w:rPr>
        <w:t>代表</w:t>
      </w:r>
      <w:r>
        <w:rPr>
          <w:rFonts w:hint="eastAsia" w:ascii="宋体" w:hAnsi="宋体" w:cs="微软雅黑"/>
          <w:spacing w:val="-2"/>
          <w:kern w:val="0"/>
          <w:position w:val="-2"/>
          <w:szCs w:val="21"/>
        </w:rPr>
        <w:t>人</w:t>
      </w:r>
      <w:r>
        <w:rPr>
          <w:rFonts w:hint="eastAsia" w:ascii="宋体" w:hAnsi="宋体" w:cs="微软雅黑"/>
          <w:kern w:val="0"/>
          <w:position w:val="-2"/>
          <w:szCs w:val="21"/>
        </w:rPr>
        <w:t>（</w:t>
      </w:r>
      <w:r>
        <w:rPr>
          <w:rFonts w:hint="eastAsia" w:ascii="宋体" w:hAnsi="宋体" w:cs="微软雅黑"/>
          <w:spacing w:val="-2"/>
          <w:kern w:val="0"/>
          <w:position w:val="-2"/>
          <w:szCs w:val="21"/>
        </w:rPr>
        <w:t>单</w:t>
      </w:r>
      <w:r>
        <w:rPr>
          <w:rFonts w:hint="eastAsia" w:ascii="宋体" w:hAnsi="宋体" w:cs="微软雅黑"/>
          <w:kern w:val="0"/>
          <w:position w:val="-2"/>
          <w:szCs w:val="21"/>
        </w:rPr>
        <w:t>位</w:t>
      </w:r>
      <w:r>
        <w:rPr>
          <w:rFonts w:hint="eastAsia" w:ascii="宋体" w:hAnsi="宋体" w:cs="微软雅黑"/>
          <w:spacing w:val="-2"/>
          <w:kern w:val="0"/>
          <w:position w:val="-2"/>
          <w:szCs w:val="21"/>
        </w:rPr>
        <w:t>负</w:t>
      </w:r>
      <w:r>
        <w:rPr>
          <w:rFonts w:hint="eastAsia" w:ascii="宋体" w:hAnsi="宋体" w:cs="微软雅黑"/>
          <w:kern w:val="0"/>
          <w:position w:val="-2"/>
          <w:szCs w:val="21"/>
        </w:rPr>
        <w:t>责</w:t>
      </w:r>
      <w:r>
        <w:rPr>
          <w:rFonts w:hint="eastAsia" w:ascii="宋体" w:hAnsi="宋体" w:cs="微软雅黑"/>
          <w:spacing w:val="-2"/>
          <w:kern w:val="0"/>
          <w:position w:val="-2"/>
          <w:szCs w:val="21"/>
        </w:rPr>
        <w:t>人</w:t>
      </w:r>
      <w:r>
        <w:rPr>
          <w:rFonts w:hint="eastAsia" w:ascii="宋体" w:hAnsi="宋体" w:cs="微软雅黑"/>
          <w:spacing w:val="-106"/>
          <w:kern w:val="0"/>
          <w:position w:val="-2"/>
          <w:szCs w:val="21"/>
        </w:rPr>
        <w:t>）</w:t>
      </w:r>
      <w:r>
        <w:rPr>
          <w:rFonts w:hint="eastAsia" w:ascii="宋体" w:hAnsi="宋体" w:cs="微软雅黑"/>
          <w:kern w:val="0"/>
          <w:position w:val="-2"/>
          <w:szCs w:val="21"/>
        </w:rPr>
        <w:t>。</w:t>
      </w:r>
    </w:p>
    <w:p>
      <w:pPr>
        <w:pageBreakBefore w:val="0"/>
        <w:kinsoku/>
        <w:wordWrap/>
        <w:overflowPunct/>
        <w:autoSpaceDE w:val="0"/>
        <w:autoSpaceDN w:val="0"/>
        <w:bidi w:val="0"/>
        <w:adjustRightInd w:val="0"/>
        <w:snapToGrid w:val="0"/>
        <w:spacing w:before="120" w:beforeLines="50" w:line="440" w:lineRule="exact"/>
        <w:ind w:left="520" w:right="-20"/>
        <w:jc w:val="left"/>
        <w:rPr>
          <w:rFonts w:ascii="宋体" w:hAnsi="宋体" w:cs="微软雅黑"/>
          <w:kern w:val="0"/>
          <w:szCs w:val="21"/>
        </w:rPr>
      </w:pPr>
      <w:r>
        <w:rPr>
          <w:rFonts w:hint="eastAsia" w:ascii="宋体" w:hAnsi="宋体" w:cs="微软雅黑"/>
          <w:kern w:val="0"/>
          <w:szCs w:val="21"/>
        </w:rPr>
        <w:t>特此</w:t>
      </w:r>
      <w:r>
        <w:rPr>
          <w:rFonts w:hint="eastAsia" w:ascii="宋体" w:hAnsi="宋体" w:cs="微软雅黑"/>
          <w:spacing w:val="-2"/>
          <w:kern w:val="0"/>
          <w:szCs w:val="21"/>
        </w:rPr>
        <w:t>证</w:t>
      </w:r>
      <w:r>
        <w:rPr>
          <w:rFonts w:hint="eastAsia" w:ascii="宋体" w:hAnsi="宋体" w:cs="微软雅黑"/>
          <w:kern w:val="0"/>
          <w:szCs w:val="21"/>
        </w:rPr>
        <w:t>明。</w:t>
      </w:r>
    </w:p>
    <w:p>
      <w:pPr>
        <w:pageBreakBefore w:val="0"/>
        <w:kinsoku/>
        <w:wordWrap/>
        <w:overflowPunct/>
        <w:autoSpaceDE w:val="0"/>
        <w:autoSpaceDN w:val="0"/>
        <w:bidi w:val="0"/>
        <w:adjustRightInd w:val="0"/>
        <w:snapToGrid w:val="0"/>
        <w:spacing w:before="120" w:beforeLines="50" w:line="440" w:lineRule="exact"/>
        <w:ind w:left="100" w:right="4231"/>
        <w:jc w:val="left"/>
        <w:rPr>
          <w:rFonts w:ascii="宋体" w:hAnsi="宋体" w:cs="微软雅黑"/>
          <w:kern w:val="0"/>
          <w:szCs w:val="21"/>
        </w:rPr>
      </w:pPr>
      <w:r>
        <w:rPr>
          <w:rFonts w:hint="eastAsia" w:ascii="宋体" w:hAnsi="宋体" w:cs="微软雅黑"/>
          <w:kern w:val="0"/>
          <w:szCs w:val="21"/>
        </w:rPr>
        <w:t>附：</w:t>
      </w: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cs="微软雅黑"/>
          <w:kern w:val="0"/>
          <w:szCs w:val="21"/>
        </w:rPr>
        <w:t>身</w:t>
      </w:r>
      <w:r>
        <w:rPr>
          <w:rFonts w:hint="eastAsia" w:ascii="宋体" w:hAnsi="宋体" w:cs="微软雅黑"/>
          <w:spacing w:val="-2"/>
          <w:kern w:val="0"/>
          <w:szCs w:val="21"/>
        </w:rPr>
        <w:t>份</w:t>
      </w:r>
      <w:r>
        <w:rPr>
          <w:rFonts w:hint="eastAsia" w:ascii="宋体" w:hAnsi="宋体" w:cs="微软雅黑"/>
          <w:kern w:val="0"/>
          <w:szCs w:val="21"/>
        </w:rPr>
        <w:t>证</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r>
        <w:rPr>
          <w:rFonts w:hint="eastAsia" w:ascii="宋体" w:hAnsi="宋体" w:cs="微软雅黑"/>
          <w:kern w:val="0"/>
          <w:szCs w:val="21"/>
        </w:rPr>
        <w:t>。</w:t>
      </w:r>
    </w:p>
    <w:tbl>
      <w:tblPr>
        <w:tblStyle w:val="3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身份证（正面）</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p>
        </w:tc>
        <w:tc>
          <w:tcPr>
            <w:tcW w:w="389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身份证（反面）</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p>
        </w:tc>
      </w:tr>
    </w:tbl>
    <w:p>
      <w:pPr>
        <w:pageBreakBefore w:val="0"/>
        <w:kinsoku/>
        <w:wordWrap/>
        <w:overflowPunct/>
        <w:bidi w:val="0"/>
        <w:adjustRightInd w:val="0"/>
        <w:snapToGrid w:val="0"/>
        <w:spacing w:before="120" w:beforeLines="50" w:line="440" w:lineRule="exact"/>
        <w:rPr>
          <w:rFonts w:ascii="宋体" w:hAnsi="宋体"/>
          <w:szCs w:val="21"/>
        </w:rPr>
      </w:pPr>
    </w:p>
    <w:p>
      <w:pPr>
        <w:pageBreakBefore w:val="0"/>
        <w:kinsoku/>
        <w:wordWrap/>
        <w:overflowPunct/>
        <w:bidi w:val="0"/>
        <w:adjustRightInd w:val="0"/>
        <w:snapToGrid w:val="0"/>
        <w:spacing w:before="120" w:beforeLines="50" w:line="440" w:lineRule="exact"/>
        <w:rPr>
          <w:rFonts w:ascii="宋体" w:hAnsi="宋体"/>
          <w:szCs w:val="21"/>
        </w:rPr>
      </w:pPr>
    </w:p>
    <w:p>
      <w:pPr>
        <w:pStyle w:val="18"/>
        <w:pageBreakBefore w:val="0"/>
        <w:kinsoku/>
        <w:wordWrap/>
        <w:overflowPunct/>
        <w:bidi w:val="0"/>
        <w:adjustRightInd w:val="0"/>
        <w:snapToGrid w:val="0"/>
        <w:spacing w:before="120" w:beforeLines="50" w:line="440" w:lineRule="exact"/>
        <w:rPr>
          <w:rFonts w:hAnsi="宋体"/>
        </w:rPr>
      </w:pPr>
      <w:r>
        <w:rPr>
          <w:rFonts w:hint="eastAsia" w:hAnsi="宋体"/>
        </w:rPr>
        <w:t>供应商名称(盖单位公章)：</w:t>
      </w:r>
    </w:p>
    <w:p>
      <w:pPr>
        <w:pageBreakBefore w:val="0"/>
        <w:kinsoku/>
        <w:wordWrap/>
        <w:overflowPunct/>
        <w:bidi w:val="0"/>
        <w:adjustRightInd w:val="0"/>
        <w:snapToGrid w:val="0"/>
        <w:spacing w:before="120" w:beforeLines="50" w:line="440" w:lineRule="exact"/>
        <w:ind w:right="24"/>
        <w:rPr>
          <w:rFonts w:ascii="仿宋_GB2312" w:hAnsi="宋体" w:eastAsia="仿宋_GB2312"/>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ageBreakBefore w:val="0"/>
        <w:kinsoku/>
        <w:wordWrap/>
        <w:overflowPunct/>
        <w:bidi w:val="0"/>
        <w:spacing w:line="440" w:lineRule="exact"/>
        <w:rPr>
          <w:rFonts w:ascii="宋体" w:hAnsi="宋体"/>
          <w:szCs w:val="21"/>
        </w:rPr>
      </w:pPr>
    </w:p>
    <w:p>
      <w:pPr>
        <w:pStyle w:val="8"/>
        <w:pageBreakBefore w:val="0"/>
        <w:kinsoku/>
        <w:wordWrap/>
        <w:overflowPunct/>
        <w:bidi w:val="0"/>
        <w:spacing w:line="440" w:lineRule="exact"/>
        <w:rPr>
          <w:rFonts w:ascii="宋体" w:hAnsi="宋体"/>
          <w:szCs w:val="21"/>
        </w:rPr>
      </w:pPr>
    </w:p>
    <w:p>
      <w:pPr>
        <w:pageBreakBefore w:val="0"/>
        <w:kinsoku/>
        <w:wordWrap/>
        <w:overflowPunct/>
        <w:bidi w:val="0"/>
        <w:spacing w:line="440" w:lineRule="exact"/>
        <w:rPr>
          <w:rFonts w:ascii="宋体" w:hAnsi="宋体"/>
          <w:szCs w:val="21"/>
        </w:rPr>
      </w:pPr>
    </w:p>
    <w:p>
      <w:pPr>
        <w:pStyle w:val="8"/>
        <w:pageBreakBefore w:val="0"/>
        <w:kinsoku/>
        <w:wordWrap/>
        <w:overflowPunct/>
        <w:bidi w:val="0"/>
        <w:spacing w:line="440" w:lineRule="exact"/>
      </w:pPr>
    </w:p>
    <w:p>
      <w:pPr>
        <w:pageBreakBefore w:val="0"/>
        <w:kinsoku/>
        <w:wordWrap/>
        <w:overflowPunct/>
        <w:bidi w:val="0"/>
        <w:spacing w:line="440" w:lineRule="exact"/>
      </w:pPr>
    </w:p>
    <w:p>
      <w:pPr>
        <w:pageBreakBefore w:val="0"/>
        <w:kinsoku/>
        <w:wordWrap/>
        <w:overflowPunct/>
        <w:bidi w:val="0"/>
        <w:adjustRightInd w:val="0"/>
        <w:snapToGrid w:val="0"/>
        <w:spacing w:line="440" w:lineRule="exact"/>
        <w:jc w:val="left"/>
        <w:rPr>
          <w:rFonts w:ascii="宋体" w:hAnsi="宋体" w:cs="宋体"/>
          <w:bCs/>
          <w:sz w:val="30"/>
          <w:szCs w:val="30"/>
        </w:rPr>
      </w:pPr>
      <w:r>
        <w:rPr>
          <w:rFonts w:hint="eastAsia" w:ascii="宋体" w:hAnsi="宋体" w:cs="宋体"/>
          <w:b/>
          <w:szCs w:val="21"/>
        </w:rPr>
        <w:t>（注：此法定代表人身份证明由投标单位加盖单位公章，除投标文件中须提供外，还须另外准备一份，不装入投标文件，与项目的投标文件同时分别递交，否则，视为自动放弃投标。）</w:t>
      </w:r>
    </w:p>
    <w:p>
      <w:pPr>
        <w:pStyle w:val="8"/>
        <w:pageBreakBefore w:val="0"/>
        <w:kinsoku/>
        <w:wordWrap/>
        <w:overflowPunct/>
        <w:bidi w:val="0"/>
        <w:spacing w:line="440" w:lineRule="exact"/>
        <w:sectPr>
          <w:headerReference r:id="rId12" w:type="default"/>
          <w:pgSz w:w="11906" w:h="16838"/>
          <w:pgMar w:top="1134" w:right="1134" w:bottom="1134" w:left="1134" w:header="510" w:footer="624" w:gutter="0"/>
          <w:cols w:space="720" w:num="1"/>
          <w:docGrid w:linePitch="312" w:charSpace="0"/>
        </w:sectPr>
      </w:pPr>
    </w:p>
    <w:p>
      <w:pPr>
        <w:pStyle w:val="8"/>
        <w:pageBreakBefore w:val="0"/>
        <w:kinsoku/>
        <w:wordWrap/>
        <w:overflowPunct/>
        <w:bidi w:val="0"/>
        <w:spacing w:line="440" w:lineRule="exact"/>
        <w:rPr>
          <w:rFonts w:ascii="宋体" w:hAnsi="宋体" w:cs="微软雅黑"/>
          <w:b w:val="0"/>
          <w:bCs w:val="0"/>
          <w:kern w:val="0"/>
          <w:sz w:val="21"/>
          <w:szCs w:val="21"/>
        </w:rPr>
      </w:pPr>
      <w:r>
        <w:rPr>
          <w:rFonts w:hint="eastAsia" w:ascii="宋体" w:hAnsi="宋体" w:cs="微软雅黑"/>
          <w:b w:val="0"/>
          <w:bCs w:val="0"/>
          <w:kern w:val="0"/>
          <w:sz w:val="21"/>
          <w:szCs w:val="21"/>
        </w:rPr>
        <w:t>附件2</w:t>
      </w:r>
    </w:p>
    <w:p>
      <w:pPr>
        <w:pageBreakBefore w:val="0"/>
        <w:kinsoku/>
        <w:wordWrap/>
        <w:overflowPunct/>
        <w:bidi w:val="0"/>
        <w:spacing w:before="360" w:beforeLines="150" w:line="440" w:lineRule="exact"/>
        <w:jc w:val="center"/>
        <w:rPr>
          <w:rFonts w:ascii="宋体" w:hAnsi="宋体"/>
          <w:b/>
          <w:bCs/>
          <w:sz w:val="36"/>
          <w:szCs w:val="36"/>
        </w:rPr>
      </w:pPr>
      <w:r>
        <w:rPr>
          <w:rFonts w:hint="eastAsia" w:ascii="宋体" w:hAnsi="宋体"/>
          <w:b/>
          <w:bCs/>
          <w:sz w:val="36"/>
          <w:szCs w:val="36"/>
        </w:rPr>
        <w:t>授权委托书</w:t>
      </w:r>
    </w:p>
    <w:p>
      <w:pPr>
        <w:pageBreakBefore w:val="0"/>
        <w:kinsoku/>
        <w:wordWrap/>
        <w:overflowPunct/>
        <w:bidi w:val="0"/>
        <w:adjustRightInd w:val="0"/>
        <w:snapToGrid w:val="0"/>
        <w:spacing w:line="440" w:lineRule="exact"/>
        <w:jc w:val="center"/>
        <w:rPr>
          <w:rFonts w:ascii="宋体" w:hAnsi="宋体"/>
          <w:b/>
          <w:bCs/>
          <w:sz w:val="28"/>
          <w:szCs w:val="28"/>
        </w:rPr>
      </w:pPr>
      <w:r>
        <w:rPr>
          <w:rFonts w:hint="eastAsia" w:ascii="宋体" w:hAnsi="宋体"/>
          <w:b/>
          <w:bCs/>
          <w:sz w:val="28"/>
          <w:szCs w:val="28"/>
        </w:rPr>
        <w:t xml:space="preserve"> </w:t>
      </w:r>
    </w:p>
    <w:p>
      <w:pPr>
        <w:pageBreakBefore w:val="0"/>
        <w:kinsoku/>
        <w:wordWrap/>
        <w:overflowPunct/>
        <w:autoSpaceDE w:val="0"/>
        <w:autoSpaceDN w:val="0"/>
        <w:bidi w:val="0"/>
        <w:adjustRightInd w:val="0"/>
        <w:snapToGrid w:val="0"/>
        <w:spacing w:before="120" w:beforeLines="50" w:line="440" w:lineRule="exact"/>
        <w:ind w:firstLine="420" w:firstLineChars="200"/>
        <w:jc w:val="left"/>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cs="宋体"/>
          <w:kern w:val="0"/>
          <w:szCs w:val="21"/>
        </w:rPr>
        <w:t>，现授权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（项目名称、</w:t>
      </w:r>
      <w:r>
        <w:rPr>
          <w:rFonts w:hint="eastAsia" w:ascii="宋体" w:hAnsi="宋体"/>
          <w:szCs w:val="21"/>
        </w:rPr>
        <w:t>政府</w:t>
      </w:r>
      <w:r>
        <w:rPr>
          <w:rFonts w:hint="eastAsia" w:ascii="宋体" w:hAnsi="宋体" w:cs="宋体"/>
          <w:kern w:val="0"/>
          <w:szCs w:val="21"/>
        </w:rPr>
        <w:t>采购编号、委托代理编号）响应文件；(2)签署并重新提交响应文件及最后报价；(3)退出磋商（如可能）；(4)签订合同和处理有关事宜，其法律后果由我方承担。</w:t>
      </w:r>
    </w:p>
    <w:p>
      <w:pPr>
        <w:pageBreakBefore w:val="0"/>
        <w:kinsoku/>
        <w:wordWrap/>
        <w:overflowPunct/>
        <w:autoSpaceDE w:val="0"/>
        <w:autoSpaceDN w:val="0"/>
        <w:bidi w:val="0"/>
        <w:adjustRightInd w:val="0"/>
        <w:snapToGrid w:val="0"/>
        <w:spacing w:before="120" w:beforeLines="50" w:line="440" w:lineRule="exact"/>
        <w:ind w:firstLine="420" w:firstLineChars="200"/>
        <w:jc w:val="left"/>
        <w:rPr>
          <w:rFonts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pageBreakBefore w:val="0"/>
        <w:kinsoku/>
        <w:wordWrap/>
        <w:overflowPunct/>
        <w:bidi w:val="0"/>
        <w:adjustRightInd w:val="0"/>
        <w:snapToGrid w:val="0"/>
        <w:spacing w:before="120" w:beforeLines="50" w:line="440" w:lineRule="exact"/>
        <w:ind w:firstLine="435"/>
        <w:rPr>
          <w:rFonts w:ascii="宋体" w:hAnsi="宋体" w:cs="宋体"/>
          <w:kern w:val="0"/>
          <w:szCs w:val="21"/>
        </w:rPr>
      </w:pPr>
      <w:r>
        <w:rPr>
          <w:rFonts w:hint="eastAsia" w:ascii="宋体" w:hAnsi="宋体" w:cs="宋体"/>
          <w:kern w:val="0"/>
          <w:szCs w:val="21"/>
        </w:rPr>
        <w:t>代理人无转委托权。</w:t>
      </w:r>
    </w:p>
    <w:p>
      <w:pPr>
        <w:pageBreakBefore w:val="0"/>
        <w:kinsoku/>
        <w:wordWrap/>
        <w:overflowPunct/>
        <w:bidi w:val="0"/>
        <w:adjustRightInd w:val="0"/>
        <w:snapToGrid w:val="0"/>
        <w:spacing w:before="120" w:beforeLines="50" w:line="440" w:lineRule="exact"/>
        <w:ind w:firstLine="435"/>
        <w:rPr>
          <w:rFonts w:ascii="宋体" w:hAnsi="宋体" w:cs="微软雅黑"/>
          <w:kern w:val="0"/>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tbl>
      <w:tblPr>
        <w:tblStyle w:val="3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身份证（正面）</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p>
        </w:tc>
        <w:tc>
          <w:tcPr>
            <w:tcW w:w="389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身份证（反面）</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p>
        </w:tc>
      </w:tr>
    </w:tbl>
    <w:p>
      <w:pPr>
        <w:pageBreakBefore w:val="0"/>
        <w:kinsoku/>
        <w:wordWrap/>
        <w:overflowPunct/>
        <w:bidi w:val="0"/>
        <w:adjustRightInd w:val="0"/>
        <w:snapToGrid w:val="0"/>
        <w:spacing w:before="120" w:beforeLines="50" w:line="440" w:lineRule="exact"/>
        <w:ind w:firstLine="420" w:firstLineChars="200"/>
        <w:rPr>
          <w:rFonts w:ascii="宋体" w:hAnsi="宋体"/>
          <w:szCs w:val="21"/>
        </w:rPr>
      </w:pPr>
    </w:p>
    <w:p>
      <w:pPr>
        <w:pageBreakBefore w:val="0"/>
        <w:kinsoku/>
        <w:wordWrap/>
        <w:overflowPunct/>
        <w:bidi w:val="0"/>
        <w:adjustRightInd w:val="0"/>
        <w:snapToGrid w:val="0"/>
        <w:spacing w:before="120" w:beforeLines="50" w:line="440" w:lineRule="exact"/>
        <w:rPr>
          <w:rFonts w:ascii="宋体" w:hAnsi="宋体"/>
          <w:szCs w:val="21"/>
        </w:rPr>
      </w:pPr>
    </w:p>
    <w:p>
      <w:pPr>
        <w:pageBreakBefore w:val="0"/>
        <w:kinsoku/>
        <w:wordWrap/>
        <w:overflowPunct/>
        <w:bidi w:val="0"/>
        <w:adjustRightInd w:val="0"/>
        <w:snapToGrid w:val="0"/>
        <w:spacing w:before="120" w:beforeLines="50" w:line="440" w:lineRule="exact"/>
        <w:ind w:firstLine="420" w:firstLineChars="200"/>
        <w:rPr>
          <w:rFonts w:ascii="宋体" w:hAnsi="宋体"/>
          <w:szCs w:val="21"/>
        </w:rPr>
      </w:pPr>
    </w:p>
    <w:p>
      <w:pPr>
        <w:pStyle w:val="18"/>
        <w:pageBreakBefore w:val="0"/>
        <w:kinsoku/>
        <w:wordWrap/>
        <w:overflowPunct/>
        <w:bidi w:val="0"/>
        <w:adjustRightInd w:val="0"/>
        <w:snapToGrid w:val="0"/>
        <w:spacing w:before="120" w:beforeLines="50" w:line="440" w:lineRule="exact"/>
        <w:rPr>
          <w:rFonts w:hAnsi="宋体"/>
        </w:rPr>
      </w:pPr>
      <w:r>
        <w:rPr>
          <w:rFonts w:hint="eastAsia" w:hAnsi="宋体"/>
        </w:rPr>
        <w:t>供应商名称(盖单位公章)：</w:t>
      </w:r>
    </w:p>
    <w:p>
      <w:pPr>
        <w:pageBreakBefore w:val="0"/>
        <w:kinsoku/>
        <w:wordWrap/>
        <w:overflowPunct/>
        <w:bidi w:val="0"/>
        <w:adjustRightInd w:val="0"/>
        <w:snapToGrid w:val="0"/>
        <w:spacing w:before="120" w:beforeLines="50" w:line="440" w:lineRule="exact"/>
        <w:rPr>
          <w:rFonts w:ascii="宋体" w:hAnsi="宋体" w:cs="微软雅黑"/>
          <w:spacing w:val="-2"/>
          <w:kern w:val="0"/>
          <w:szCs w:val="21"/>
          <w:u w:val="single"/>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szCs w:val="21"/>
        </w:rPr>
        <w:t>签字或印章</w:t>
      </w:r>
      <w:r>
        <w:rPr>
          <w:rFonts w:hint="eastAsia" w:ascii="宋体" w:hAnsi="宋体" w:cs="微软雅黑"/>
          <w:spacing w:val="-2"/>
          <w:kern w:val="0"/>
          <w:szCs w:val="21"/>
        </w:rPr>
        <w:t>）：</w:t>
      </w:r>
      <w:r>
        <w:rPr>
          <w:rFonts w:hint="eastAsia" w:ascii="宋体" w:hAnsi="宋体" w:cs="微软雅黑"/>
          <w:spacing w:val="-2"/>
          <w:kern w:val="0"/>
          <w:szCs w:val="21"/>
          <w:u w:val="single"/>
        </w:rPr>
        <w:t xml:space="preserve">                  </w:t>
      </w:r>
    </w:p>
    <w:p>
      <w:pPr>
        <w:pageBreakBefore w:val="0"/>
        <w:kinsoku/>
        <w:wordWrap/>
        <w:overflowPunct/>
        <w:bidi w:val="0"/>
        <w:adjustRightInd w:val="0"/>
        <w:snapToGrid w:val="0"/>
        <w:spacing w:before="120" w:beforeLines="50" w:line="440" w:lineRule="exact"/>
        <w:rPr>
          <w:rFonts w:ascii="宋体" w:hAnsi="宋体"/>
          <w:szCs w:val="21"/>
          <w:u w:val="single"/>
        </w:rPr>
      </w:pPr>
      <w:r>
        <w:rPr>
          <w:rFonts w:hint="eastAsia" w:ascii="宋体" w:hAnsi="宋体"/>
          <w:szCs w:val="21"/>
        </w:rPr>
        <w:t>授权的代理人（签字或印章）：</w:t>
      </w:r>
      <w:r>
        <w:rPr>
          <w:rFonts w:hint="eastAsia" w:ascii="宋体" w:hAnsi="宋体"/>
          <w:szCs w:val="21"/>
          <w:u w:val="single"/>
        </w:rPr>
        <w:t xml:space="preserve">               </w:t>
      </w:r>
    </w:p>
    <w:p>
      <w:pPr>
        <w:pageBreakBefore w:val="0"/>
        <w:kinsoku/>
        <w:wordWrap/>
        <w:overflowPunct/>
        <w:bidi w:val="0"/>
        <w:adjustRightInd w:val="0"/>
        <w:snapToGrid w:val="0"/>
        <w:spacing w:before="120" w:beforeLines="50" w:line="440" w:lineRule="exact"/>
        <w:rPr>
          <w:rFonts w:ascii="宋体" w:hAnsi="宋体"/>
          <w:b/>
          <w:bCs/>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ageBreakBefore w:val="0"/>
        <w:kinsoku/>
        <w:wordWrap/>
        <w:overflowPunct/>
        <w:bidi w:val="0"/>
        <w:adjustRightInd w:val="0"/>
        <w:snapToGrid w:val="0"/>
        <w:spacing w:before="240" w:beforeLines="100" w:line="440" w:lineRule="exact"/>
        <w:jc w:val="left"/>
        <w:rPr>
          <w:rFonts w:ascii="宋体" w:hAnsi="宋体" w:cs="宋体"/>
          <w:b/>
          <w:szCs w:val="21"/>
        </w:rPr>
      </w:pPr>
      <w:r>
        <w:rPr>
          <w:rFonts w:hint="eastAsia" w:ascii="宋体" w:hAnsi="宋体" w:cs="宋体"/>
          <w:b/>
          <w:szCs w:val="21"/>
        </w:rPr>
        <w:t>（注：1、此法定代表人授权委托书由投标单位法定代表人和委托代理人亲笔签署，并加盖单位公章，除投标文件中须提供外，还须另外准备一份，不装入投标文件，与项目的投标文件同时分别递交，否则，视为自动放弃投标。2、法人直接参加投标的，无需提供法人代表授权委托书。）</w:t>
      </w:r>
    </w:p>
    <w:p>
      <w:pPr>
        <w:pStyle w:val="8"/>
        <w:pageBreakBefore w:val="0"/>
        <w:kinsoku/>
        <w:wordWrap/>
        <w:overflowPunct/>
        <w:bidi w:val="0"/>
        <w:spacing w:line="440" w:lineRule="exact"/>
        <w:sectPr>
          <w:pgSz w:w="11906" w:h="16838"/>
          <w:pgMar w:top="1134" w:right="1134" w:bottom="1134" w:left="1134" w:header="510" w:footer="624" w:gutter="0"/>
          <w:cols w:space="720" w:num="1"/>
          <w:docGrid w:linePitch="312" w:charSpace="0"/>
        </w:sect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bookmarkStart w:id="28" w:name="_Toc5738"/>
      <w:bookmarkStart w:id="29" w:name="_Toc472022215"/>
      <w:r>
        <w:rPr>
          <w:rFonts w:hint="eastAsia" w:ascii="宋体" w:hAnsi="宋体" w:cs="宋体"/>
          <w:b/>
          <w:bCs/>
          <w:sz w:val="36"/>
          <w:szCs w:val="36"/>
        </w:rPr>
        <w:t>二、供应商的资格证明材料</w:t>
      </w:r>
      <w:bookmarkEnd w:id="28"/>
      <w:bookmarkEnd w:id="29"/>
    </w:p>
    <w:p>
      <w:pPr>
        <w:pageBreakBefore w:val="0"/>
        <w:kinsoku/>
        <w:wordWrap/>
        <w:overflowPunct/>
        <w:bidi w:val="0"/>
        <w:adjustRightInd w:val="0"/>
        <w:snapToGrid w:val="0"/>
        <w:spacing w:line="440" w:lineRule="exact"/>
        <w:ind w:right="420"/>
        <w:outlineLvl w:val="2"/>
        <w:rPr>
          <w:rFonts w:ascii="微软雅黑" w:hAnsi="微软雅黑" w:eastAsia="微软雅黑"/>
          <w:szCs w:val="21"/>
        </w:rPr>
      </w:pPr>
      <w:r>
        <w:rPr>
          <w:rFonts w:hint="eastAsia" w:ascii="微软雅黑" w:hAnsi="微软雅黑" w:eastAsia="微软雅黑"/>
          <w:szCs w:val="21"/>
        </w:rPr>
        <w:t>附件3</w:t>
      </w:r>
    </w:p>
    <w:p>
      <w:pPr>
        <w:pageBreakBefore w:val="0"/>
        <w:kinsoku/>
        <w:wordWrap/>
        <w:overflowPunct/>
        <w:bidi w:val="0"/>
        <w:adjustRightInd w:val="0"/>
        <w:snapToGrid w:val="0"/>
        <w:spacing w:before="360" w:beforeLines="150" w:line="440" w:lineRule="exact"/>
        <w:jc w:val="center"/>
        <w:rPr>
          <w:rFonts w:ascii="宋体" w:hAnsi="宋体"/>
          <w:b/>
          <w:sz w:val="32"/>
          <w:szCs w:val="32"/>
        </w:rPr>
      </w:pPr>
      <w:r>
        <w:rPr>
          <w:rFonts w:hint="eastAsia" w:ascii="宋体" w:hAnsi="宋体"/>
          <w:b/>
          <w:sz w:val="32"/>
          <w:szCs w:val="32"/>
        </w:rPr>
        <w:t>供应商基本情况表</w:t>
      </w:r>
    </w:p>
    <w:p>
      <w:pPr>
        <w:pageBreakBefore w:val="0"/>
        <w:kinsoku/>
        <w:wordWrap/>
        <w:overflowPunct/>
        <w:bidi w:val="0"/>
        <w:adjustRightInd w:val="0"/>
        <w:snapToGrid w:val="0"/>
        <w:spacing w:line="440" w:lineRule="exact"/>
        <w:rPr>
          <w:rFonts w:ascii="宋体" w:hAnsi="宋体"/>
          <w:szCs w:val="21"/>
        </w:rPr>
      </w:pPr>
      <w:r>
        <w:rPr>
          <w:rFonts w:hint="eastAsia" w:ascii="宋体" w:hAnsi="宋体"/>
        </w:rPr>
        <w:t>盖供应商单位章</w:t>
      </w:r>
    </w:p>
    <w:tbl>
      <w:tblPr>
        <w:tblStyle w:val="31"/>
        <w:tblW w:w="9875" w:type="dxa"/>
        <w:tblInd w:w="108" w:type="dxa"/>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2966"/>
      </w:tblGrid>
      <w:tr>
        <w:tblPrEx>
          <w:tblCellMar>
            <w:top w:w="0" w:type="dxa"/>
            <w:left w:w="108" w:type="dxa"/>
            <w:bottom w:w="0" w:type="dxa"/>
            <w:right w:w="108" w:type="dxa"/>
          </w:tblCellMar>
        </w:tblPrEx>
        <w:trPr>
          <w:trHeight w:val="561" w:hRule="atLeast"/>
        </w:trPr>
        <w:tc>
          <w:tcPr>
            <w:tcW w:w="1620" w:type="dxa"/>
            <w:gridSpan w:val="3"/>
            <w:tcBorders>
              <w:top w:val="double" w:color="auto" w:sz="2"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供应商名称</w:t>
            </w:r>
          </w:p>
        </w:tc>
        <w:tc>
          <w:tcPr>
            <w:tcW w:w="3960" w:type="dxa"/>
            <w:gridSpan w:val="5"/>
            <w:tcBorders>
              <w:top w:val="double" w:color="auto" w:sz="2" w:space="0"/>
              <w:left w:val="nil"/>
              <w:bottom w:val="single" w:color="auto" w:sz="6" w:space="0"/>
              <w:right w:val="single" w:color="auto" w:sz="6" w:space="0"/>
            </w:tcBorders>
            <w:vAlign w:val="center"/>
          </w:tcPr>
          <w:p>
            <w:pPr>
              <w:pageBreakBefore w:val="0"/>
              <w:kinsoku/>
              <w:wordWrap/>
              <w:overflowPunct/>
              <w:topLinePunct/>
              <w:bidi w:val="0"/>
              <w:spacing w:line="440" w:lineRule="exact"/>
              <w:rPr>
                <w:rFonts w:ascii="宋体" w:hAnsi="宋体"/>
                <w:szCs w:val="21"/>
              </w:rPr>
            </w:pPr>
          </w:p>
        </w:tc>
        <w:tc>
          <w:tcPr>
            <w:tcW w:w="1329" w:type="dxa"/>
            <w:tcBorders>
              <w:top w:val="double" w:color="auto" w:sz="2"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法定代表人</w:t>
            </w:r>
          </w:p>
        </w:tc>
        <w:tc>
          <w:tcPr>
            <w:tcW w:w="2966" w:type="dxa"/>
            <w:tcBorders>
              <w:top w:val="double" w:color="auto" w:sz="2" w:space="0"/>
              <w:left w:val="nil"/>
              <w:bottom w:val="single" w:color="auto" w:sz="6" w:space="0"/>
              <w:right w:val="double" w:color="auto" w:sz="2" w:space="0"/>
            </w:tcBorders>
            <w:vAlign w:val="center"/>
          </w:tcPr>
          <w:p>
            <w:pPr>
              <w:pageBreakBefore w:val="0"/>
              <w:kinsoku/>
              <w:wordWrap/>
              <w:overflowPunct/>
              <w:topLinePunct/>
              <w:bidi w:val="0"/>
              <w:spacing w:line="440" w:lineRule="exact"/>
              <w:rPr>
                <w:rFonts w:ascii="宋体" w:hAnsi="宋体"/>
                <w:szCs w:val="21"/>
              </w:rPr>
            </w:pPr>
          </w:p>
        </w:tc>
      </w:tr>
      <w:tr>
        <w:tblPrEx>
          <w:tblCellMar>
            <w:top w:w="0" w:type="dxa"/>
            <w:left w:w="108" w:type="dxa"/>
            <w:bottom w:w="0" w:type="dxa"/>
            <w:right w:w="108" w:type="dxa"/>
          </w:tblCellMar>
        </w:tblPrEx>
        <w:trPr>
          <w:trHeight w:val="611" w:hRule="atLeast"/>
        </w:trPr>
        <w:tc>
          <w:tcPr>
            <w:tcW w:w="1620" w:type="dxa"/>
            <w:gridSpan w:val="3"/>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委托代理人</w:t>
            </w:r>
          </w:p>
        </w:tc>
        <w:tc>
          <w:tcPr>
            <w:tcW w:w="3960" w:type="dxa"/>
            <w:gridSpan w:val="5"/>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rPr>
                <w:rFonts w:ascii="宋体" w:hAnsi="宋体"/>
                <w:szCs w:val="21"/>
              </w:rPr>
            </w:pPr>
          </w:p>
        </w:tc>
        <w:tc>
          <w:tcPr>
            <w:tcW w:w="1329" w:type="dxa"/>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邮政编码</w:t>
            </w:r>
          </w:p>
        </w:tc>
        <w:tc>
          <w:tcPr>
            <w:tcW w:w="2966" w:type="dxa"/>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rPr>
                <w:rFonts w:ascii="宋体" w:hAnsi="宋体"/>
                <w:szCs w:val="21"/>
              </w:rPr>
            </w:pPr>
          </w:p>
        </w:tc>
      </w:tr>
      <w:tr>
        <w:tblPrEx>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电子邮箱</w:t>
            </w:r>
          </w:p>
        </w:tc>
        <w:tc>
          <w:tcPr>
            <w:tcW w:w="8255" w:type="dxa"/>
            <w:gridSpan w:val="7"/>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rPr>
                <w:rFonts w:ascii="宋体" w:hAnsi="宋体"/>
                <w:szCs w:val="21"/>
              </w:rPr>
            </w:pPr>
          </w:p>
        </w:tc>
      </w:tr>
      <w:tr>
        <w:tblPrEx>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上年营业收入</w:t>
            </w:r>
          </w:p>
        </w:tc>
        <w:tc>
          <w:tcPr>
            <w:tcW w:w="3960" w:type="dxa"/>
            <w:gridSpan w:val="5"/>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rPr>
                <w:rFonts w:ascii="宋体" w:hAnsi="宋体"/>
                <w:szCs w:val="21"/>
              </w:rPr>
            </w:pPr>
          </w:p>
        </w:tc>
        <w:tc>
          <w:tcPr>
            <w:tcW w:w="1329" w:type="dxa"/>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员工总人数</w:t>
            </w:r>
          </w:p>
        </w:tc>
        <w:tc>
          <w:tcPr>
            <w:tcW w:w="2966" w:type="dxa"/>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rPr>
                <w:rFonts w:ascii="宋体" w:hAnsi="宋体"/>
                <w:szCs w:val="21"/>
              </w:rPr>
            </w:pPr>
          </w:p>
        </w:tc>
      </w:tr>
      <w:tr>
        <w:tblPrEx>
          <w:tblCellMar>
            <w:top w:w="0" w:type="dxa"/>
            <w:left w:w="108" w:type="dxa"/>
            <w:bottom w:w="0" w:type="dxa"/>
            <w:right w:w="108" w:type="dxa"/>
          </w:tblCellMar>
        </w:tblPrEx>
        <w:trPr>
          <w:trHeight w:val="624" w:hRule="atLeast"/>
        </w:trPr>
        <w:tc>
          <w:tcPr>
            <w:tcW w:w="719" w:type="dxa"/>
            <w:vMerge w:val="restart"/>
            <w:tcBorders>
              <w:top w:val="nil"/>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营业执照</w:t>
            </w:r>
          </w:p>
        </w:tc>
        <w:tc>
          <w:tcPr>
            <w:tcW w:w="2044" w:type="dxa"/>
            <w:gridSpan w:val="3"/>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注册号码</w:t>
            </w:r>
          </w:p>
        </w:tc>
        <w:tc>
          <w:tcPr>
            <w:tcW w:w="1440"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1377"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ind w:firstLine="105" w:firstLineChars="50"/>
              <w:jc w:val="center"/>
              <w:rPr>
                <w:rFonts w:ascii="宋体" w:hAnsi="宋体"/>
                <w:szCs w:val="21"/>
              </w:rPr>
            </w:pPr>
            <w:r>
              <w:rPr>
                <w:rFonts w:hint="eastAsia" w:ascii="宋体" w:hAnsi="宋体"/>
              </w:rPr>
              <w:t>注册地址</w:t>
            </w:r>
          </w:p>
        </w:tc>
        <w:tc>
          <w:tcPr>
            <w:tcW w:w="4295" w:type="dxa"/>
            <w:gridSpan w:val="2"/>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ind w:firstLine="105" w:firstLineChars="50"/>
              <w:rPr>
                <w:rFonts w:ascii="宋体" w:hAnsi="宋体"/>
                <w:szCs w:val="21"/>
              </w:rPr>
            </w:pPr>
          </w:p>
        </w:tc>
      </w:tr>
      <w:tr>
        <w:tblPrEx>
          <w:tblCellMar>
            <w:top w:w="0" w:type="dxa"/>
            <w:left w:w="108" w:type="dxa"/>
            <w:bottom w:w="0" w:type="dxa"/>
            <w:right w:w="108" w:type="dxa"/>
          </w:tblCellMar>
        </w:tblPrEx>
        <w:trPr>
          <w:trHeight w:val="624" w:hRule="atLeast"/>
        </w:trPr>
        <w:tc>
          <w:tcPr>
            <w:tcW w:w="719" w:type="dxa"/>
            <w:vMerge w:val="continue"/>
            <w:tcBorders>
              <w:top w:val="nil"/>
              <w:left w:val="double" w:color="auto" w:sz="2" w:space="0"/>
              <w:bottom w:val="single" w:color="auto" w:sz="6" w:space="0"/>
              <w:right w:val="single" w:color="auto" w:sz="6" w:space="0"/>
            </w:tcBorders>
            <w:vAlign w:val="center"/>
          </w:tcPr>
          <w:p>
            <w:pPr>
              <w:pageBreakBefore w:val="0"/>
              <w:widowControl/>
              <w:kinsoku/>
              <w:wordWrap/>
              <w:overflowPunct/>
              <w:bidi w:val="0"/>
              <w:spacing w:line="440" w:lineRule="exact"/>
              <w:jc w:val="left"/>
              <w:rPr>
                <w:rFonts w:ascii="宋体" w:hAnsi="宋体"/>
                <w:szCs w:val="21"/>
              </w:rPr>
            </w:pPr>
          </w:p>
        </w:tc>
        <w:tc>
          <w:tcPr>
            <w:tcW w:w="2044" w:type="dxa"/>
            <w:gridSpan w:val="3"/>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发证机关</w:t>
            </w:r>
          </w:p>
        </w:tc>
        <w:tc>
          <w:tcPr>
            <w:tcW w:w="1440"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1377"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ind w:firstLine="105" w:firstLineChars="50"/>
              <w:jc w:val="center"/>
              <w:rPr>
                <w:rFonts w:ascii="宋体" w:hAnsi="宋体"/>
                <w:szCs w:val="21"/>
              </w:rPr>
            </w:pPr>
            <w:r>
              <w:rPr>
                <w:rFonts w:hint="eastAsia" w:ascii="宋体" w:hAnsi="宋体"/>
              </w:rPr>
              <w:t>发证日期</w:t>
            </w:r>
          </w:p>
        </w:tc>
        <w:tc>
          <w:tcPr>
            <w:tcW w:w="4295" w:type="dxa"/>
            <w:gridSpan w:val="2"/>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ind w:firstLine="105" w:firstLineChars="50"/>
              <w:rPr>
                <w:rFonts w:ascii="宋体" w:hAnsi="宋体"/>
                <w:szCs w:val="21"/>
              </w:rPr>
            </w:pPr>
          </w:p>
        </w:tc>
      </w:tr>
      <w:tr>
        <w:tblPrEx>
          <w:tblCellMar>
            <w:top w:w="0" w:type="dxa"/>
            <w:left w:w="108" w:type="dxa"/>
            <w:bottom w:w="0" w:type="dxa"/>
            <w:right w:w="108" w:type="dxa"/>
          </w:tblCellMar>
        </w:tblPrEx>
        <w:trPr>
          <w:trHeight w:val="624" w:hRule="atLeast"/>
        </w:trPr>
        <w:tc>
          <w:tcPr>
            <w:tcW w:w="719" w:type="dxa"/>
            <w:vMerge w:val="continue"/>
            <w:tcBorders>
              <w:top w:val="nil"/>
              <w:left w:val="double" w:color="auto" w:sz="2" w:space="0"/>
              <w:bottom w:val="single" w:color="auto" w:sz="6" w:space="0"/>
              <w:right w:val="single" w:color="auto" w:sz="6" w:space="0"/>
            </w:tcBorders>
            <w:vAlign w:val="center"/>
          </w:tcPr>
          <w:p>
            <w:pPr>
              <w:pageBreakBefore w:val="0"/>
              <w:widowControl/>
              <w:kinsoku/>
              <w:wordWrap/>
              <w:overflowPunct/>
              <w:bidi w:val="0"/>
              <w:spacing w:line="440" w:lineRule="exact"/>
              <w:jc w:val="left"/>
              <w:rPr>
                <w:rFonts w:ascii="宋体" w:hAnsi="宋体"/>
                <w:szCs w:val="21"/>
              </w:rPr>
            </w:pPr>
          </w:p>
        </w:tc>
        <w:tc>
          <w:tcPr>
            <w:tcW w:w="2044" w:type="dxa"/>
            <w:gridSpan w:val="3"/>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营业范围（主营）</w:t>
            </w:r>
          </w:p>
        </w:tc>
        <w:tc>
          <w:tcPr>
            <w:tcW w:w="7112" w:type="dxa"/>
            <w:gridSpan w:val="6"/>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ind w:firstLine="105" w:firstLineChars="50"/>
              <w:jc w:val="center"/>
              <w:rPr>
                <w:rFonts w:ascii="宋体" w:hAnsi="宋体"/>
                <w:szCs w:val="21"/>
              </w:rPr>
            </w:pPr>
          </w:p>
        </w:tc>
      </w:tr>
      <w:tr>
        <w:tblPrEx>
          <w:tblCellMar>
            <w:top w:w="0" w:type="dxa"/>
            <w:left w:w="108" w:type="dxa"/>
            <w:bottom w:w="0" w:type="dxa"/>
            <w:right w:w="108" w:type="dxa"/>
          </w:tblCellMar>
        </w:tblPrEx>
        <w:trPr>
          <w:trHeight w:val="624" w:hRule="atLeast"/>
        </w:trPr>
        <w:tc>
          <w:tcPr>
            <w:tcW w:w="719" w:type="dxa"/>
            <w:vMerge w:val="continue"/>
            <w:tcBorders>
              <w:top w:val="nil"/>
              <w:left w:val="double" w:color="auto" w:sz="2" w:space="0"/>
              <w:bottom w:val="single" w:color="auto" w:sz="6" w:space="0"/>
              <w:right w:val="single" w:color="auto" w:sz="6" w:space="0"/>
            </w:tcBorders>
            <w:vAlign w:val="center"/>
          </w:tcPr>
          <w:p>
            <w:pPr>
              <w:pageBreakBefore w:val="0"/>
              <w:widowControl/>
              <w:kinsoku/>
              <w:wordWrap/>
              <w:overflowPunct/>
              <w:bidi w:val="0"/>
              <w:spacing w:line="440" w:lineRule="exact"/>
              <w:jc w:val="left"/>
              <w:rPr>
                <w:rFonts w:ascii="宋体" w:hAnsi="宋体"/>
                <w:szCs w:val="21"/>
              </w:rPr>
            </w:pPr>
          </w:p>
        </w:tc>
        <w:tc>
          <w:tcPr>
            <w:tcW w:w="2044" w:type="dxa"/>
            <w:gridSpan w:val="3"/>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营业范围（兼营）</w:t>
            </w:r>
          </w:p>
        </w:tc>
        <w:tc>
          <w:tcPr>
            <w:tcW w:w="7112" w:type="dxa"/>
            <w:gridSpan w:val="6"/>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ind w:firstLine="105" w:firstLineChars="50"/>
              <w:jc w:val="center"/>
              <w:rPr>
                <w:rFonts w:ascii="宋体" w:hAnsi="宋体"/>
                <w:szCs w:val="21"/>
              </w:rPr>
            </w:pPr>
          </w:p>
        </w:tc>
      </w:tr>
      <w:tr>
        <w:tblPrEx>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基本账户开户行及账号</w:t>
            </w:r>
          </w:p>
        </w:tc>
        <w:tc>
          <w:tcPr>
            <w:tcW w:w="7112" w:type="dxa"/>
            <w:gridSpan w:val="6"/>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jc w:val="center"/>
              <w:rPr>
                <w:rFonts w:ascii="宋体" w:hAnsi="宋体"/>
                <w:szCs w:val="21"/>
              </w:rPr>
            </w:pPr>
          </w:p>
        </w:tc>
      </w:tr>
      <w:tr>
        <w:tblPrEx>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税务登记机关</w:t>
            </w:r>
          </w:p>
        </w:tc>
        <w:tc>
          <w:tcPr>
            <w:tcW w:w="7112" w:type="dxa"/>
            <w:gridSpan w:val="6"/>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jc w:val="center"/>
              <w:rPr>
                <w:rFonts w:ascii="宋体" w:hAnsi="宋体"/>
                <w:szCs w:val="21"/>
              </w:rPr>
            </w:pPr>
          </w:p>
        </w:tc>
      </w:tr>
      <w:tr>
        <w:tblPrEx>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资质名称</w:t>
            </w:r>
          </w:p>
        </w:tc>
        <w:tc>
          <w:tcPr>
            <w:tcW w:w="884"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等级</w:t>
            </w:r>
          </w:p>
        </w:tc>
        <w:tc>
          <w:tcPr>
            <w:tcW w:w="1083" w:type="dxa"/>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发证机关</w:t>
            </w:r>
          </w:p>
        </w:tc>
        <w:tc>
          <w:tcPr>
            <w:tcW w:w="4295" w:type="dxa"/>
            <w:gridSpan w:val="2"/>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有效期</w:t>
            </w:r>
          </w:p>
        </w:tc>
      </w:tr>
      <w:tr>
        <w:tblPrEx>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884"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1083" w:type="dxa"/>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4295" w:type="dxa"/>
            <w:gridSpan w:val="2"/>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jc w:val="center"/>
              <w:rPr>
                <w:rFonts w:ascii="宋体" w:hAnsi="宋体"/>
                <w:szCs w:val="21"/>
              </w:rPr>
            </w:pPr>
          </w:p>
        </w:tc>
      </w:tr>
      <w:tr>
        <w:tblPrEx>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884"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1083" w:type="dxa"/>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4295" w:type="dxa"/>
            <w:gridSpan w:val="2"/>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jc w:val="center"/>
              <w:rPr>
                <w:rFonts w:ascii="宋体" w:hAnsi="宋体"/>
                <w:szCs w:val="21"/>
              </w:rPr>
            </w:pPr>
          </w:p>
        </w:tc>
      </w:tr>
      <w:tr>
        <w:tblPrEx>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884"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1083" w:type="dxa"/>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4295" w:type="dxa"/>
            <w:gridSpan w:val="2"/>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jc w:val="center"/>
              <w:rPr>
                <w:rFonts w:ascii="宋体" w:hAnsi="宋体"/>
                <w:szCs w:val="21"/>
              </w:rPr>
            </w:pPr>
          </w:p>
        </w:tc>
      </w:tr>
      <w:tr>
        <w:tblPrEx>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884"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1083" w:type="dxa"/>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4295" w:type="dxa"/>
            <w:gridSpan w:val="2"/>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jc w:val="center"/>
              <w:rPr>
                <w:rFonts w:ascii="宋体" w:hAnsi="宋体"/>
                <w:szCs w:val="21"/>
              </w:rPr>
            </w:pPr>
          </w:p>
        </w:tc>
      </w:tr>
      <w:tr>
        <w:tblPrEx>
          <w:tblCellMar>
            <w:top w:w="0" w:type="dxa"/>
            <w:left w:w="108" w:type="dxa"/>
            <w:bottom w:w="0" w:type="dxa"/>
            <w:right w:w="108" w:type="dxa"/>
          </w:tblCellMar>
        </w:tblPrEx>
        <w:trPr>
          <w:trHeight w:val="976" w:hRule="atLeast"/>
        </w:trPr>
        <w:tc>
          <w:tcPr>
            <w:tcW w:w="1258" w:type="dxa"/>
            <w:gridSpan w:val="2"/>
            <w:tcBorders>
              <w:top w:val="single" w:color="auto" w:sz="6" w:space="0"/>
              <w:left w:val="double" w:color="auto" w:sz="2" w:space="0"/>
              <w:bottom w:val="double" w:color="auto" w:sz="2"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备注</w:t>
            </w:r>
          </w:p>
        </w:tc>
        <w:tc>
          <w:tcPr>
            <w:tcW w:w="8617" w:type="dxa"/>
            <w:gridSpan w:val="8"/>
            <w:tcBorders>
              <w:top w:val="single" w:color="auto" w:sz="6" w:space="0"/>
              <w:left w:val="nil"/>
              <w:bottom w:val="double" w:color="auto" w:sz="2" w:space="0"/>
              <w:right w:val="double" w:color="auto" w:sz="2" w:space="0"/>
            </w:tcBorders>
            <w:vAlign w:val="center"/>
          </w:tcPr>
          <w:p>
            <w:pPr>
              <w:pageBreakBefore w:val="0"/>
              <w:kinsoku/>
              <w:wordWrap/>
              <w:overflowPunct/>
              <w:bidi w:val="0"/>
              <w:spacing w:line="440" w:lineRule="exact"/>
              <w:rPr>
                <w:rFonts w:ascii="宋体" w:hAnsi="宋体"/>
              </w:rPr>
            </w:pPr>
          </w:p>
        </w:tc>
      </w:tr>
    </w:tbl>
    <w:p>
      <w:pPr>
        <w:pageBreakBefore w:val="0"/>
        <w:kinsoku/>
        <w:wordWrap/>
        <w:overflowPunct/>
        <w:bidi w:val="0"/>
        <w:spacing w:line="440" w:lineRule="exact"/>
        <w:rPr>
          <w:rFonts w:ascii="宋体" w:hAnsi="宋体"/>
          <w:sz w:val="24"/>
        </w:rPr>
        <w:sectPr>
          <w:pgSz w:w="11906" w:h="16838"/>
          <w:pgMar w:top="1134" w:right="1134" w:bottom="1134" w:left="1134" w:header="510" w:footer="624" w:gutter="0"/>
          <w:cols w:space="720" w:num="1"/>
          <w:docGrid w:linePitch="312" w:charSpace="0"/>
        </w:sectPr>
      </w:pPr>
    </w:p>
    <w:p>
      <w:pPr>
        <w:pStyle w:val="10"/>
        <w:pageBreakBefore w:val="0"/>
        <w:kinsoku/>
        <w:wordWrap/>
        <w:overflowPunct/>
        <w:bidi w:val="0"/>
        <w:adjustRightInd w:val="0"/>
        <w:snapToGrid w:val="0"/>
        <w:spacing w:before="120" w:beforeLines="50" w:after="0" w:line="440" w:lineRule="exact"/>
        <w:rPr>
          <w:rFonts w:ascii="宋体" w:hAnsi="宋体" w:cs="宋体"/>
          <w:sz w:val="36"/>
          <w:szCs w:val="36"/>
        </w:rPr>
      </w:pPr>
      <w:bookmarkStart w:id="30" w:name="_Toc25663"/>
      <w:bookmarkStart w:id="31" w:name="_Toc6178"/>
      <w:r>
        <w:rPr>
          <w:rFonts w:hint="eastAsia" w:ascii="黑体" w:hAnsi="仿宋" w:cs="宋体"/>
          <w:b w:val="0"/>
          <w:bCs w:val="0"/>
          <w:sz w:val="21"/>
          <w:szCs w:val="21"/>
        </w:rPr>
        <w:t>附件4-1</w:t>
      </w:r>
    </w:p>
    <w:bookmarkEnd w:id="30"/>
    <w:p>
      <w:pPr>
        <w:pageBreakBefore w:val="0"/>
        <w:kinsoku/>
        <w:wordWrap/>
        <w:overflowPunct/>
        <w:bidi w:val="0"/>
        <w:adjustRightInd w:val="0"/>
        <w:snapToGrid w:val="0"/>
        <w:spacing w:before="360" w:beforeLines="150" w:line="440" w:lineRule="exact"/>
        <w:jc w:val="center"/>
        <w:rPr>
          <w:rFonts w:ascii="宋体" w:hAnsi="宋体"/>
          <w:b/>
          <w:sz w:val="32"/>
          <w:szCs w:val="32"/>
        </w:rPr>
      </w:pPr>
      <w:r>
        <w:rPr>
          <w:rFonts w:hint="eastAsia" w:ascii="宋体" w:hAnsi="宋体"/>
          <w:b/>
          <w:sz w:val="32"/>
          <w:szCs w:val="32"/>
        </w:rPr>
        <w:t>磋商文件规定的基本资格条件证明资料</w:t>
      </w:r>
    </w:p>
    <w:p>
      <w:pPr>
        <w:pStyle w:val="8"/>
        <w:pageBreakBefore w:val="0"/>
        <w:kinsoku/>
        <w:wordWrap/>
        <w:overflowPunct/>
        <w:bidi w:val="0"/>
        <w:spacing w:line="440" w:lineRule="exact"/>
      </w:pPr>
    </w:p>
    <w:p>
      <w:pPr>
        <w:pageBreakBefore w:val="0"/>
        <w:kinsoku/>
        <w:wordWrap/>
        <w:overflowPunct/>
        <w:bidi w:val="0"/>
        <w:adjustRightInd w:val="0"/>
        <w:snapToGrid w:val="0"/>
        <w:spacing w:line="440" w:lineRule="exact"/>
        <w:ind w:right="23" w:rightChars="11"/>
        <w:rPr>
          <w:rFonts w:ascii="宋体" w:hAnsi="宋体" w:cs="宋体"/>
          <w:sz w:val="22"/>
          <w:szCs w:val="22"/>
        </w:rPr>
      </w:pPr>
      <w:bookmarkStart w:id="32" w:name="_Toc26570"/>
      <w:bookmarkStart w:id="33" w:name="_Toc31243"/>
      <w:r>
        <w:rPr>
          <w:rFonts w:hint="eastAsia" w:ascii="宋体" w:hAnsi="宋体" w:cs="宋体"/>
          <w:sz w:val="22"/>
          <w:szCs w:val="22"/>
        </w:rPr>
        <w:t>备注：提供第二章 磋商须知第3.1款供应商特定资格条件证明资料的复印件。</w:t>
      </w: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81"/>
        <w:pageBreakBefore w:val="0"/>
        <w:kinsoku/>
        <w:wordWrap/>
        <w:overflowPunct/>
        <w:bidi w:val="0"/>
        <w:spacing w:line="440" w:lineRule="exact"/>
        <w:ind w:left="0" w:leftChars="0" w:firstLine="0" w:firstLineChars="0"/>
        <w:rPr>
          <w:rFonts w:ascii="黑体" w:hAnsi="仿宋" w:cs="宋体"/>
          <w:sz w:val="21"/>
          <w:szCs w:val="21"/>
        </w:rPr>
      </w:pPr>
    </w:p>
    <w:p>
      <w:pPr>
        <w:pStyle w:val="10"/>
        <w:pageBreakBefore w:val="0"/>
        <w:kinsoku/>
        <w:wordWrap/>
        <w:overflowPunct/>
        <w:bidi w:val="0"/>
        <w:adjustRightInd w:val="0"/>
        <w:snapToGrid w:val="0"/>
        <w:spacing w:before="120" w:beforeLines="50" w:after="0" w:line="440" w:lineRule="exact"/>
        <w:rPr>
          <w:rFonts w:ascii="黑体" w:hAnsi="仿宋" w:cs="宋体"/>
          <w:b w:val="0"/>
          <w:sz w:val="21"/>
          <w:szCs w:val="21"/>
        </w:rPr>
      </w:pPr>
      <w:r>
        <w:rPr>
          <w:rFonts w:hint="eastAsia" w:ascii="黑体" w:hAnsi="仿宋" w:cs="宋体"/>
          <w:b w:val="0"/>
          <w:sz w:val="21"/>
          <w:szCs w:val="21"/>
        </w:rPr>
        <w:t>附件4-</w:t>
      </w:r>
      <w:r>
        <w:rPr>
          <w:rFonts w:hint="eastAsia" w:ascii="黑体" w:hAnsi="仿宋" w:cs="宋体"/>
          <w:b w:val="0"/>
          <w:sz w:val="21"/>
          <w:szCs w:val="21"/>
          <w:lang w:val="en-US" w:eastAsia="zh-CN"/>
        </w:rPr>
        <w:t>2</w:t>
      </w:r>
      <w:r>
        <w:rPr>
          <w:rFonts w:hint="eastAsia" w:ascii="黑体" w:hAnsi="仿宋" w:cs="宋体"/>
          <w:b w:val="0"/>
          <w:sz w:val="21"/>
          <w:szCs w:val="21"/>
        </w:rPr>
        <w:t xml:space="preserve"> </w:t>
      </w:r>
      <w:bookmarkEnd w:id="32"/>
      <w:bookmarkEnd w:id="33"/>
    </w:p>
    <w:p>
      <w:pPr>
        <w:pageBreakBefore w:val="0"/>
        <w:widowControl/>
        <w:kinsoku/>
        <w:wordWrap/>
        <w:overflowPunct/>
        <w:bidi w:val="0"/>
        <w:adjustRightInd w:val="0"/>
        <w:snapToGrid w:val="0"/>
        <w:spacing w:before="120" w:beforeLines="50" w:line="440" w:lineRule="exact"/>
        <w:jc w:val="center"/>
        <w:rPr>
          <w:rFonts w:ascii="宋体" w:hAnsi="宋体" w:cs="宋体"/>
          <w:szCs w:val="21"/>
        </w:rPr>
      </w:pPr>
      <w:r>
        <w:rPr>
          <w:rFonts w:hint="eastAsia" w:ascii="黑体" w:hAnsi="仿宋" w:eastAsia="黑体" w:cs="宋体"/>
          <w:b/>
          <w:sz w:val="28"/>
          <w:szCs w:val="28"/>
        </w:rPr>
        <w:t>供应商资格声明</w:t>
      </w:r>
    </w:p>
    <w:p>
      <w:pPr>
        <w:pageBreakBefore w:val="0"/>
        <w:widowControl/>
        <w:kinsoku/>
        <w:wordWrap/>
        <w:overflowPunct/>
        <w:bidi w:val="0"/>
        <w:adjustRightInd w:val="0"/>
        <w:snapToGrid w:val="0"/>
        <w:spacing w:before="120" w:beforeLines="50" w:line="440" w:lineRule="exact"/>
        <w:jc w:val="left"/>
        <w:rPr>
          <w:rFonts w:ascii="宋体" w:hAnsi="宋体" w:cs="宋体"/>
          <w:kern w:val="0"/>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(采购人、采购代理机构)：</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kern w:val="0"/>
          <w:szCs w:val="21"/>
        </w:rPr>
      </w:pPr>
      <w:r>
        <w:rPr>
          <w:rFonts w:hint="eastAsia" w:ascii="宋体" w:hAnsi="宋体" w:cs="宋体"/>
          <w:szCs w:val="21"/>
        </w:rPr>
        <w:t>按照《中华人民共和国政府采购法》及实施条例和</w:t>
      </w:r>
      <w:r>
        <w:rPr>
          <w:rFonts w:hint="eastAsia" w:ascii="宋体" w:hAnsi="宋体" w:cs="宋体"/>
          <w:szCs w:val="21"/>
          <w:u w:val="single"/>
        </w:rPr>
        <w:t xml:space="preserve">         </w:t>
      </w:r>
      <w:r>
        <w:rPr>
          <w:rFonts w:hint="eastAsia" w:ascii="宋体" w:hAnsi="宋体" w:cs="宋体"/>
          <w:szCs w:val="21"/>
        </w:rPr>
        <w:t>(项目名称)邀请公告的规定，我单位郑重声明如下：</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kern w:val="0"/>
          <w:szCs w:val="21"/>
        </w:rPr>
      </w:pPr>
      <w:r>
        <w:rPr>
          <w:rFonts w:hint="eastAsia" w:ascii="宋体" w:hAnsi="宋体" w:cs="宋体"/>
          <w:szCs w:val="21"/>
        </w:rPr>
        <w:t>一、我单位是按照中华人民共和国法律规定登记注册的，注册地点为</w:t>
      </w:r>
      <w:r>
        <w:rPr>
          <w:rFonts w:hint="eastAsia" w:ascii="宋体" w:hAnsi="宋体" w:cs="宋体"/>
          <w:szCs w:val="21"/>
          <w:u w:val="single"/>
        </w:rPr>
        <w:t xml:space="preserve">         </w:t>
      </w:r>
      <w:r>
        <w:rPr>
          <w:rFonts w:hint="eastAsia" w:ascii="宋体" w:hAnsi="宋体" w:cs="宋体"/>
          <w:szCs w:val="21"/>
        </w:rPr>
        <w:t>，全称为</w:t>
      </w:r>
      <w:r>
        <w:rPr>
          <w:rFonts w:hint="eastAsia" w:ascii="宋体" w:hAnsi="宋体" w:cs="宋体"/>
          <w:szCs w:val="21"/>
          <w:u w:val="single"/>
        </w:rPr>
        <w:t xml:space="preserve">        </w:t>
      </w:r>
      <w:r>
        <w:rPr>
          <w:rFonts w:hint="eastAsia" w:ascii="宋体" w:hAnsi="宋体" w:cs="宋体"/>
          <w:szCs w:val="21"/>
        </w:rPr>
        <w:t>，统一社会信用代码为</w:t>
      </w:r>
      <w:r>
        <w:rPr>
          <w:rFonts w:hint="eastAsia" w:ascii="宋体" w:hAnsi="宋体" w:cs="宋体"/>
          <w:szCs w:val="21"/>
          <w:u w:val="single"/>
        </w:rPr>
        <w:t xml:space="preserve">            </w:t>
      </w:r>
      <w:r>
        <w:rPr>
          <w:rFonts w:hint="eastAsia" w:ascii="宋体" w:hAnsi="宋体" w:cs="宋体"/>
          <w:szCs w:val="21"/>
        </w:rPr>
        <w:t>，法定代表人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cs="宋体"/>
          <w:szCs w:val="21"/>
        </w:rPr>
        <w:t>为</w:t>
      </w:r>
      <w:r>
        <w:rPr>
          <w:rFonts w:hint="eastAsia" w:ascii="宋体" w:hAnsi="宋体" w:cs="宋体"/>
          <w:szCs w:val="21"/>
          <w:u w:val="single"/>
        </w:rPr>
        <w:t xml:space="preserve">         </w:t>
      </w:r>
      <w:r>
        <w:rPr>
          <w:rFonts w:hint="eastAsia" w:ascii="宋体" w:hAnsi="宋体" w:cs="宋体"/>
          <w:szCs w:val="21"/>
        </w:rPr>
        <w:t>，具有独立承担民事责任的能力。</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szCs w:val="21"/>
        </w:rPr>
      </w:pPr>
      <w:r>
        <w:rPr>
          <w:rFonts w:hint="eastAsia" w:ascii="宋体" w:hAnsi="宋体" w:cs="宋体"/>
          <w:szCs w:val="21"/>
        </w:rPr>
        <w:t>二、我单位具有良好的商业信誉和健全的财务会计制度。</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szCs w:val="21"/>
        </w:rPr>
      </w:pPr>
      <w:r>
        <w:rPr>
          <w:rFonts w:hint="eastAsia" w:ascii="宋体" w:hAnsi="宋体" w:cs="宋体"/>
          <w:kern w:val="0"/>
          <w:szCs w:val="21"/>
        </w:rPr>
        <w:t>三、我</w:t>
      </w:r>
      <w:r>
        <w:rPr>
          <w:rFonts w:hint="eastAsia" w:ascii="宋体" w:hAnsi="宋体" w:cs="宋体"/>
          <w:szCs w:val="21"/>
        </w:rPr>
        <w:t>单位</w:t>
      </w:r>
      <w:r>
        <w:rPr>
          <w:rFonts w:hint="eastAsia" w:ascii="宋体" w:hAnsi="宋体" w:cs="宋体"/>
          <w:kern w:val="0"/>
          <w:szCs w:val="21"/>
        </w:rPr>
        <w:t>依法进行纳税和社会保险申报并实际履行了义务。</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kern w:val="0"/>
          <w:szCs w:val="21"/>
        </w:rPr>
      </w:pPr>
      <w:r>
        <w:rPr>
          <w:rFonts w:hint="eastAsia" w:ascii="宋体" w:hAnsi="宋体" w:cs="宋体"/>
          <w:kern w:val="0"/>
          <w:szCs w:val="21"/>
        </w:rPr>
        <w:t>四、</w:t>
      </w:r>
      <w:r>
        <w:rPr>
          <w:rFonts w:hint="eastAsia" w:ascii="宋体" w:hAnsi="宋体" w:cs="宋体"/>
          <w:szCs w:val="21"/>
        </w:rPr>
        <w:t>我单位具有履行本项目采购合同所必需的设备和专业技术能力，并具有履行合同的良好</w:t>
      </w:r>
      <w:r>
        <w:rPr>
          <w:rFonts w:ascii="宋体" w:hAnsi="宋体"/>
          <w:szCs w:val="21"/>
        </w:rPr>
        <w:t>记录</w:t>
      </w:r>
      <w:r>
        <w:rPr>
          <w:rFonts w:hint="eastAsia" w:ascii="宋体" w:hAnsi="宋体" w:cs="宋体"/>
          <w:szCs w:val="21"/>
        </w:rPr>
        <w:t>。</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szCs w:val="21"/>
        </w:rPr>
      </w:pPr>
      <w:r>
        <w:rPr>
          <w:rFonts w:hint="eastAsia" w:ascii="宋体" w:hAnsi="宋体" w:cs="宋体"/>
          <w:szCs w:val="21"/>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kern w:val="0"/>
          <w:szCs w:val="21"/>
        </w:rPr>
      </w:pPr>
      <w:r>
        <w:rPr>
          <w:rFonts w:hint="eastAsia" w:ascii="宋体" w:hAnsi="宋体" w:cs="宋体"/>
          <w:szCs w:val="21"/>
        </w:rPr>
        <w:t>供应商在参加政府采购活动前3年内因违法经营被禁止在一定期限内参加政府采购活动，期限届满的，可以参加政府采购活动。</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szCs w:val="21"/>
        </w:rPr>
      </w:pPr>
      <w:r>
        <w:rPr>
          <w:rFonts w:hint="eastAsia" w:ascii="宋体" w:hAnsi="宋体" w:cs="宋体"/>
          <w:szCs w:val="21"/>
        </w:rPr>
        <w:t>六、我单位具备法律、行政法规规定的其他条件。</w:t>
      </w:r>
    </w:p>
    <w:p>
      <w:pPr>
        <w:pageBreakBefore w:val="0"/>
        <w:widowControl/>
        <w:kinsoku/>
        <w:wordWrap/>
        <w:overflowPunct/>
        <w:bidi w:val="0"/>
        <w:adjustRightInd w:val="0"/>
        <w:snapToGrid w:val="0"/>
        <w:spacing w:before="120" w:beforeLines="50" w:line="440" w:lineRule="exact"/>
        <w:ind w:firstLine="420" w:firstLineChars="200"/>
        <w:jc w:val="left"/>
        <w:rPr>
          <w:szCs w:val="21"/>
        </w:rPr>
      </w:pPr>
      <w:r>
        <w:rPr>
          <w:rFonts w:hint="eastAsia" w:ascii="宋体" w:hAnsi="宋体" w:cs="宋体"/>
          <w:szCs w:val="21"/>
        </w:rPr>
        <w:t>七、</w:t>
      </w:r>
      <w:r>
        <w:rPr>
          <w:rFonts w:hint="eastAsia"/>
          <w:szCs w:val="21"/>
        </w:rPr>
        <w:t>与我单位存在“单位负责人为同一人或者存在直接控股、管理关系”的其他单位信息如下（如无，填写“无”）：</w:t>
      </w:r>
    </w:p>
    <w:p>
      <w:pPr>
        <w:pageBreakBefore w:val="0"/>
        <w:kinsoku/>
        <w:wordWrap/>
        <w:overflowPunct/>
        <w:bidi w:val="0"/>
        <w:adjustRightInd w:val="0"/>
        <w:snapToGrid w:val="0"/>
        <w:spacing w:before="120" w:beforeLines="50" w:line="440" w:lineRule="exact"/>
        <w:ind w:firstLine="420" w:firstLineChars="200"/>
        <w:rPr>
          <w:szCs w:val="21"/>
        </w:rPr>
      </w:pPr>
      <w:r>
        <w:rPr>
          <w:rFonts w:hint="eastAsia" w:ascii="宋体" w:hAnsi="宋体"/>
          <w:szCs w:val="21"/>
        </w:rPr>
        <w:t>1、</w:t>
      </w:r>
      <w:r>
        <w:rPr>
          <w:rFonts w:hint="eastAsia"/>
          <w:szCs w:val="21"/>
        </w:rPr>
        <w:t>与我单位的法定代表人（单位负责人）为同一人的其他单位如下：</w:t>
      </w:r>
      <w:r>
        <w:rPr>
          <w:rFonts w:hint="eastAsia" w:ascii="宋体" w:hAnsi="宋体"/>
          <w:szCs w:val="21"/>
          <w:u w:val="single"/>
        </w:rPr>
        <w:t xml:space="preserve">               </w:t>
      </w:r>
    </w:p>
    <w:p>
      <w:pPr>
        <w:pageBreakBefore w:val="0"/>
        <w:kinsoku/>
        <w:wordWrap/>
        <w:overflowPunct/>
        <w:bidi w:val="0"/>
        <w:adjustRightInd w:val="0"/>
        <w:snapToGrid w:val="0"/>
        <w:spacing w:before="120" w:beforeLines="50" w:line="440" w:lineRule="exact"/>
        <w:ind w:firstLine="420" w:firstLineChars="200"/>
        <w:rPr>
          <w:rFonts w:ascii="宋体" w:hAnsi="宋体"/>
          <w:szCs w:val="21"/>
        </w:rPr>
      </w:pPr>
      <w:r>
        <w:rPr>
          <w:rFonts w:hint="eastAsia" w:ascii="宋体" w:hAnsi="宋体"/>
          <w:szCs w:val="21"/>
        </w:rPr>
        <w:t>2、我</w:t>
      </w:r>
      <w:r>
        <w:rPr>
          <w:rFonts w:hint="eastAsia"/>
          <w:szCs w:val="21"/>
        </w:rPr>
        <w:t>单位</w:t>
      </w:r>
      <w:r>
        <w:rPr>
          <w:rFonts w:hint="eastAsia" w:ascii="宋体" w:hAnsi="宋体"/>
          <w:szCs w:val="21"/>
        </w:rPr>
        <w:t>直接控股的其他单位如下：</w:t>
      </w:r>
      <w:r>
        <w:rPr>
          <w:rFonts w:hint="eastAsia" w:ascii="宋体" w:hAnsi="宋体"/>
          <w:szCs w:val="21"/>
          <w:u w:val="single"/>
        </w:rPr>
        <w:t xml:space="preserve">               </w:t>
      </w:r>
    </w:p>
    <w:p>
      <w:pPr>
        <w:pageBreakBefore w:val="0"/>
        <w:kinsoku/>
        <w:wordWrap/>
        <w:overflowPunct/>
        <w:bidi w:val="0"/>
        <w:adjustRightInd w:val="0"/>
        <w:snapToGrid w:val="0"/>
        <w:spacing w:before="120" w:beforeLines="50" w:line="440" w:lineRule="exact"/>
        <w:ind w:firstLine="420" w:firstLineChars="200"/>
        <w:rPr>
          <w:szCs w:val="21"/>
        </w:rPr>
      </w:pPr>
      <w:r>
        <w:rPr>
          <w:rFonts w:hint="eastAsia" w:ascii="宋体" w:hAnsi="宋体"/>
          <w:szCs w:val="21"/>
        </w:rPr>
        <w:t>3、与我</w:t>
      </w:r>
      <w:r>
        <w:rPr>
          <w:rFonts w:hint="eastAsia"/>
          <w:szCs w:val="21"/>
        </w:rPr>
        <w:t>单位存在</w:t>
      </w:r>
      <w:r>
        <w:rPr>
          <w:rFonts w:hint="eastAsia" w:ascii="宋体" w:hAnsi="宋体"/>
          <w:szCs w:val="21"/>
        </w:rPr>
        <w:t>管理关系的其他单位如下：</w:t>
      </w:r>
      <w:r>
        <w:rPr>
          <w:rFonts w:hint="eastAsia" w:ascii="宋体" w:hAnsi="宋体"/>
          <w:szCs w:val="21"/>
          <w:u w:val="single"/>
        </w:rPr>
        <w:t xml:space="preserve">               </w:t>
      </w:r>
    </w:p>
    <w:p>
      <w:pPr>
        <w:pageBreakBefore w:val="0"/>
        <w:widowControl/>
        <w:kinsoku/>
        <w:wordWrap/>
        <w:overflowPunct/>
        <w:bidi w:val="0"/>
        <w:adjustRightInd w:val="0"/>
        <w:snapToGrid w:val="0"/>
        <w:spacing w:before="120" w:beforeLines="50" w:line="440" w:lineRule="exact"/>
        <w:ind w:firstLine="420" w:firstLineChars="200"/>
        <w:jc w:val="left"/>
        <w:rPr>
          <w:szCs w:val="21"/>
        </w:rPr>
      </w:pPr>
      <w:r>
        <w:rPr>
          <w:rFonts w:hint="eastAsia" w:ascii="宋体" w:hAnsi="宋体" w:cs="宋体"/>
          <w:kern w:val="0"/>
          <w:szCs w:val="21"/>
        </w:rPr>
        <w:t>八、</w:t>
      </w:r>
      <w:r>
        <w:rPr>
          <w:rFonts w:ascii="宋体" w:hAnsi="宋体"/>
          <w:szCs w:val="21"/>
        </w:rPr>
        <w:t>我</w:t>
      </w:r>
      <w:r>
        <w:rPr>
          <w:rFonts w:hint="eastAsia" w:ascii="宋体" w:hAnsi="宋体"/>
          <w:szCs w:val="21"/>
        </w:rPr>
        <w:t>单位</w:t>
      </w:r>
      <w:r>
        <w:rPr>
          <w:rFonts w:ascii="宋体" w:hAnsi="宋体"/>
          <w:szCs w:val="21"/>
        </w:rPr>
        <w:t>不属于为本项目提供整体设计、规范编制或者项目管理、监理、检测等服务的</w:t>
      </w:r>
      <w:r>
        <w:rPr>
          <w:rFonts w:hint="eastAsia" w:ascii="宋体" w:hAnsi="宋体" w:cs="宋体"/>
          <w:szCs w:val="21"/>
        </w:rPr>
        <w:t>供应商</w:t>
      </w:r>
      <w:r>
        <w:rPr>
          <w:rFonts w:ascii="宋体" w:hAnsi="宋体"/>
          <w:szCs w:val="21"/>
        </w:rPr>
        <w:t>。</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szCs w:val="21"/>
        </w:rPr>
      </w:pPr>
      <w:r>
        <w:rPr>
          <w:rFonts w:hint="eastAsia" w:ascii="宋体" w:hAnsi="宋体"/>
          <w:szCs w:val="21"/>
        </w:rPr>
        <w:t>九、</w:t>
      </w:r>
      <w:r>
        <w:rPr>
          <w:rFonts w:ascii="宋体" w:hAnsi="宋体"/>
          <w:szCs w:val="21"/>
        </w:rPr>
        <w:t>我单位无以下不良信用记录情形：</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szCs w:val="21"/>
        </w:rPr>
      </w:pPr>
      <w:r>
        <w:rPr>
          <w:rFonts w:ascii="宋体" w:hAnsi="宋体"/>
          <w:szCs w:val="21"/>
        </w:rPr>
        <w:t>1</w:t>
      </w:r>
      <w:r>
        <w:rPr>
          <w:rFonts w:hint="eastAsia" w:ascii="宋体" w:hAnsi="宋体"/>
          <w:szCs w:val="21"/>
        </w:rPr>
        <w:t>、在</w:t>
      </w:r>
      <w:r>
        <w:rPr>
          <w:rFonts w:hint="eastAsia" w:ascii="宋体" w:hAnsi="宋体" w:cs="宋体"/>
          <w:szCs w:val="21"/>
        </w:rPr>
        <w:t>“信用中国”网站被列入失信被执行人和重大税收违法案件当事人名单；</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szCs w:val="21"/>
        </w:rPr>
      </w:pPr>
      <w:r>
        <w:rPr>
          <w:rFonts w:ascii="宋体" w:hAnsi="宋体"/>
          <w:szCs w:val="21"/>
        </w:rPr>
        <w:t>2</w:t>
      </w:r>
      <w:r>
        <w:rPr>
          <w:rFonts w:hint="eastAsia" w:ascii="宋体" w:hAnsi="宋体"/>
          <w:szCs w:val="21"/>
        </w:rPr>
        <w:t>、在</w:t>
      </w:r>
      <w:r>
        <w:rPr>
          <w:rFonts w:hint="eastAsia" w:ascii="宋体" w:hAnsi="宋体" w:cs="宋体"/>
          <w:szCs w:val="21"/>
        </w:rPr>
        <w:t>“中国政府采购网”网站被列入政府采购严重违法失信行为记录名单；</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不符合《政府采购法》第二十二条规定的条件。</w:t>
      </w:r>
    </w:p>
    <w:p>
      <w:pPr>
        <w:pageBreakBefore w:val="0"/>
        <w:widowControl/>
        <w:kinsoku/>
        <w:wordWrap/>
        <w:overflowPunct/>
        <w:bidi w:val="0"/>
        <w:adjustRightInd w:val="0"/>
        <w:snapToGrid w:val="0"/>
        <w:spacing w:before="120" w:beforeLines="50" w:line="440" w:lineRule="exact"/>
        <w:ind w:firstLine="420" w:firstLineChars="200"/>
        <w:jc w:val="left"/>
        <w:rPr>
          <w:szCs w:val="21"/>
        </w:rPr>
      </w:pPr>
      <w:r>
        <w:rPr>
          <w:rFonts w:hint="eastAsia" w:ascii="宋体" w:hAnsi="宋体" w:cs="宋体"/>
          <w:szCs w:val="21"/>
        </w:rPr>
        <w:t>我单位保证上述声明的事项都是真实的，如有虚假，我单位愿意承担相应的法律责任，并承担因此所造成的一切损失。</w:t>
      </w:r>
    </w:p>
    <w:p>
      <w:pPr>
        <w:pageBreakBefore w:val="0"/>
        <w:widowControl/>
        <w:kinsoku/>
        <w:wordWrap/>
        <w:overflowPunct/>
        <w:bidi w:val="0"/>
        <w:adjustRightInd w:val="0"/>
        <w:snapToGrid w:val="0"/>
        <w:spacing w:before="120" w:beforeLines="50" w:line="440" w:lineRule="exact"/>
        <w:jc w:val="left"/>
        <w:rPr>
          <w:rFonts w:ascii="宋体" w:hAnsi="宋体" w:cs="宋体"/>
          <w:szCs w:val="21"/>
        </w:rPr>
      </w:pPr>
      <w:r>
        <w:rPr>
          <w:rFonts w:hint="eastAsia" w:ascii="宋体" w:hAnsi="宋体" w:cs="宋体"/>
          <w:szCs w:val="21"/>
        </w:rPr>
        <w:t>注：第三条“良好的商业信誉”是指供应商经营状况良好，无本</w:t>
      </w:r>
      <w:r>
        <w:rPr>
          <w:rFonts w:hint="eastAsia" w:ascii="宋体" w:hAnsi="宋体"/>
          <w:szCs w:val="21"/>
        </w:rPr>
        <w:t>承诺函</w:t>
      </w:r>
      <w:r>
        <w:rPr>
          <w:rFonts w:hint="eastAsia" w:ascii="宋体" w:hAnsi="宋体" w:cs="宋体"/>
          <w:szCs w:val="21"/>
        </w:rPr>
        <w:t>第九条情形。</w:t>
      </w:r>
    </w:p>
    <w:p>
      <w:pPr>
        <w:pageBreakBefore w:val="0"/>
        <w:widowControl/>
        <w:kinsoku/>
        <w:wordWrap/>
        <w:overflowPunct/>
        <w:bidi w:val="0"/>
        <w:adjustRightInd w:val="0"/>
        <w:snapToGrid w:val="0"/>
        <w:spacing w:before="120" w:beforeLines="50" w:line="440" w:lineRule="exact"/>
        <w:jc w:val="left"/>
        <w:rPr>
          <w:rFonts w:ascii="宋体" w:hAnsi="宋体" w:cs="宋体"/>
          <w:szCs w:val="21"/>
        </w:rPr>
      </w:pPr>
    </w:p>
    <w:p>
      <w:pPr>
        <w:pageBreakBefore w:val="0"/>
        <w:widowControl/>
        <w:kinsoku/>
        <w:wordWrap/>
        <w:overflowPunct/>
        <w:bidi w:val="0"/>
        <w:adjustRightInd w:val="0"/>
        <w:snapToGrid w:val="0"/>
        <w:spacing w:line="440" w:lineRule="exact"/>
        <w:jc w:val="left"/>
        <w:rPr>
          <w:rFonts w:ascii="宋体" w:hAnsi="宋体" w:cs="宋体"/>
          <w:kern w:val="0"/>
          <w:szCs w:val="21"/>
        </w:rPr>
      </w:pPr>
      <w:r>
        <w:rPr>
          <w:rFonts w:hint="eastAsia" w:ascii="宋体" w:hAnsi="宋体" w:cs="宋体"/>
          <w:szCs w:val="21"/>
        </w:rPr>
        <w:t>供应商名称（盖单位公章）：</w:t>
      </w:r>
    </w:p>
    <w:p>
      <w:pPr>
        <w:pageBreakBefore w:val="0"/>
        <w:widowControl/>
        <w:kinsoku/>
        <w:wordWrap/>
        <w:overflowPunct/>
        <w:bidi w:val="0"/>
        <w:adjustRightInd w:val="0"/>
        <w:snapToGrid w:val="0"/>
        <w:spacing w:line="440" w:lineRule="exact"/>
        <w:jc w:val="left"/>
        <w:rPr>
          <w:rFonts w:ascii="宋体" w:hAnsi="宋体" w:cs="宋体"/>
          <w:b/>
          <w:bCs/>
          <w:kern w:val="0"/>
          <w:sz w:val="44"/>
          <w:szCs w:val="44"/>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rPr>
        <w:t>或委托代理人：</w:t>
      </w:r>
      <w:r>
        <w:rPr>
          <w:rFonts w:hint="eastAsia" w:ascii="宋体" w:hAnsi="宋体"/>
          <w:u w:val="single"/>
        </w:rPr>
        <w:t xml:space="preserve">       </w:t>
      </w:r>
      <w:r>
        <w:rPr>
          <w:rFonts w:hint="eastAsia" w:ascii="宋体" w:hAnsi="宋体"/>
        </w:rPr>
        <w:t>（签字或印章）</w:t>
      </w:r>
    </w:p>
    <w:p>
      <w:pPr>
        <w:pageBreakBefore w:val="0"/>
        <w:widowControl/>
        <w:kinsoku/>
        <w:wordWrap/>
        <w:overflowPunct/>
        <w:bidi w:val="0"/>
        <w:adjustRightInd w:val="0"/>
        <w:snapToGrid w:val="0"/>
        <w:spacing w:line="440" w:lineRule="exact"/>
        <w:jc w:val="left"/>
        <w:rPr>
          <w:rFonts w:ascii="黑体" w:hAnsi="仿宋" w:cs="宋体"/>
          <w:b/>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10"/>
        <w:pageBreakBefore w:val="0"/>
        <w:kinsoku/>
        <w:wordWrap/>
        <w:overflowPunct/>
        <w:bidi w:val="0"/>
        <w:adjustRightInd w:val="0"/>
        <w:snapToGrid w:val="0"/>
        <w:spacing w:before="120" w:beforeLines="50" w:after="0" w:line="440" w:lineRule="exact"/>
        <w:rPr>
          <w:rFonts w:ascii="黑体" w:hAnsi="仿宋" w:cs="宋体"/>
          <w:b w:val="0"/>
          <w:sz w:val="21"/>
          <w:szCs w:val="21"/>
        </w:rPr>
      </w:pPr>
      <w:r>
        <w:rPr>
          <w:rFonts w:ascii="黑体" w:hAnsi="仿宋" w:eastAsia="黑体" w:cs="宋体"/>
          <w:szCs w:val="21"/>
        </w:rPr>
        <w:br w:type="page"/>
      </w:r>
      <w:r>
        <w:rPr>
          <w:rFonts w:hint="eastAsia" w:ascii="黑体" w:hAnsi="仿宋" w:cs="宋体"/>
          <w:b w:val="0"/>
          <w:sz w:val="21"/>
          <w:szCs w:val="21"/>
        </w:rPr>
        <w:t>附件4-</w:t>
      </w:r>
      <w:r>
        <w:rPr>
          <w:rFonts w:hint="eastAsia" w:ascii="黑体" w:hAnsi="仿宋" w:cs="宋体"/>
          <w:b w:val="0"/>
          <w:sz w:val="21"/>
          <w:szCs w:val="21"/>
          <w:lang w:val="en-US" w:eastAsia="zh-CN"/>
        </w:rPr>
        <w:t>3</w:t>
      </w:r>
      <w:r>
        <w:rPr>
          <w:rFonts w:hint="eastAsia" w:ascii="黑体" w:hAnsi="仿宋" w:cs="宋体"/>
          <w:b w:val="0"/>
          <w:sz w:val="21"/>
          <w:szCs w:val="21"/>
        </w:rPr>
        <w:t xml:space="preserve"> </w:t>
      </w:r>
    </w:p>
    <w:p>
      <w:pPr>
        <w:pStyle w:val="111"/>
        <w:jc w:val="center"/>
      </w:pPr>
      <w:r>
        <w:rPr>
          <w:rFonts w:ascii="黑体" w:hAnsi="黑体" w:eastAsia="黑体" w:cs="黑体"/>
          <w:b/>
          <w:sz w:val="28"/>
        </w:rPr>
        <w:t>参加政府采购活动前三年内在经营活动中没有重大违法记录的书面声明</w:t>
      </w:r>
    </w:p>
    <w:p>
      <w:pPr>
        <w:pStyle w:val="112"/>
        <w:rPr>
          <w:rFonts w:hint="eastAsia"/>
          <w:color w:val="000000"/>
        </w:rPr>
      </w:pPr>
    </w:p>
    <w:p>
      <w:pPr>
        <w:pStyle w:val="112"/>
        <w:rPr>
          <w:rFonts w:hint="eastAsia"/>
          <w:color w:val="000000"/>
        </w:rPr>
      </w:pPr>
    </w:p>
    <w:p>
      <w:pPr>
        <w:pStyle w:val="112"/>
        <w:rPr>
          <w:rFonts w:hint="eastAsia"/>
          <w:color w:val="000000"/>
        </w:rPr>
      </w:pPr>
    </w:p>
    <w:p>
      <w:pPr>
        <w:pStyle w:val="112"/>
        <w:rPr>
          <w:rFonts w:hint="eastAsia"/>
          <w:color w:val="000000"/>
        </w:rPr>
      </w:pPr>
      <w:r>
        <w:rPr>
          <w:rFonts w:hint="eastAsia"/>
          <w:color w:val="000000"/>
        </w:rPr>
        <w:t>致</w:t>
      </w:r>
      <w:r>
        <w:rPr>
          <w:rFonts w:hint="eastAsia"/>
          <w:color w:val="000000"/>
          <w:u w:val="single"/>
        </w:rPr>
        <w:t xml:space="preserve">              </w:t>
      </w:r>
      <w:r>
        <w:rPr>
          <w:rFonts w:hint="eastAsia"/>
          <w:color w:val="000000"/>
        </w:rPr>
        <w:t>(采购代理机构)：</w:t>
      </w:r>
    </w:p>
    <w:p>
      <w:pPr>
        <w:pStyle w:val="112"/>
        <w:adjustRightInd w:val="0"/>
        <w:snapToGrid w:val="0"/>
        <w:spacing w:before="156" w:beforeLines="50" w:line="360" w:lineRule="auto"/>
        <w:ind w:left="-88" w:leftChars="-42"/>
        <w:rPr>
          <w:rFonts w:hint="eastAsia" w:ascii="宋体"/>
          <w:color w:val="000000"/>
          <w:szCs w:val="21"/>
        </w:rPr>
      </w:pPr>
    </w:p>
    <w:p>
      <w:pPr>
        <w:pStyle w:val="112"/>
        <w:widowControl/>
        <w:adjustRightInd w:val="0"/>
        <w:snapToGrid w:val="0"/>
        <w:spacing w:before="156" w:beforeLines="50" w:line="360" w:lineRule="auto"/>
        <w:ind w:firstLine="420" w:firstLineChars="200"/>
        <w:rPr>
          <w:rFonts w:hint="eastAsia" w:ascii="宋体"/>
          <w:color w:val="000000"/>
          <w:szCs w:val="21"/>
        </w:rPr>
      </w:pPr>
      <w:r>
        <w:rPr>
          <w:rFonts w:hint="eastAsia" w:ascii="宋体"/>
          <w:bCs/>
          <w:color w:val="000000"/>
          <w:szCs w:val="21"/>
        </w:rPr>
        <w:t>我单位在</w:t>
      </w:r>
      <w:r>
        <w:rPr>
          <w:rFonts w:hint="eastAsia" w:ascii="宋体"/>
          <w:color w:val="000000"/>
          <w:szCs w:val="21"/>
        </w:rPr>
        <w:t>参加采购活动前三年内在经营活动中没有政府采购法第二十二条第一款第（五）项和实施条例第十九条所称重大违法记录，包括：</w:t>
      </w:r>
    </w:p>
    <w:p>
      <w:pPr>
        <w:pStyle w:val="112"/>
        <w:widowControl/>
        <w:adjustRightInd w:val="0"/>
        <w:snapToGrid w:val="0"/>
        <w:spacing w:before="156" w:beforeLines="50" w:line="360" w:lineRule="auto"/>
        <w:ind w:firstLine="420" w:firstLineChars="200"/>
        <w:rPr>
          <w:rFonts w:hint="eastAsia" w:ascii="宋体"/>
          <w:color w:val="000000"/>
          <w:szCs w:val="21"/>
        </w:rPr>
      </w:pPr>
      <w:r>
        <w:rPr>
          <w:rFonts w:hint="eastAsia" w:ascii="宋体"/>
          <w:color w:val="000000"/>
          <w:szCs w:val="21"/>
        </w:rPr>
        <w:t>1、因违法经营受到刑事处罚或者责令停产停业、吊销许可证或者执照、较大数额罚款等行政处罚。</w:t>
      </w:r>
    </w:p>
    <w:p>
      <w:pPr>
        <w:pStyle w:val="112"/>
        <w:widowControl/>
        <w:adjustRightInd w:val="0"/>
        <w:snapToGrid w:val="0"/>
        <w:spacing w:before="156" w:beforeLines="50" w:line="360" w:lineRule="auto"/>
        <w:ind w:firstLine="420" w:firstLineChars="200"/>
        <w:rPr>
          <w:rFonts w:hint="eastAsia" w:ascii="宋体"/>
          <w:color w:val="000000"/>
          <w:szCs w:val="21"/>
        </w:rPr>
      </w:pPr>
      <w:r>
        <w:rPr>
          <w:rFonts w:hint="eastAsia" w:ascii="宋体"/>
          <w:color w:val="000000"/>
          <w:szCs w:val="21"/>
        </w:rPr>
        <w:t>2、在参加本项目政府采购活动前3年内因违法经营被禁止在一定期限内参加政府采购活动。</w:t>
      </w:r>
    </w:p>
    <w:p>
      <w:pPr>
        <w:pStyle w:val="112"/>
        <w:widowControl/>
        <w:adjustRightInd w:val="0"/>
        <w:snapToGrid w:val="0"/>
        <w:spacing w:before="156" w:beforeLines="50" w:line="360" w:lineRule="auto"/>
        <w:ind w:firstLine="420" w:firstLineChars="200"/>
        <w:rPr>
          <w:rFonts w:hint="eastAsia" w:ascii="宋体"/>
          <w:color w:val="000000"/>
          <w:szCs w:val="21"/>
        </w:rPr>
      </w:pPr>
      <w:r>
        <w:rPr>
          <w:rFonts w:hint="eastAsia" w:ascii="宋体"/>
          <w:color w:val="000000"/>
          <w:szCs w:val="21"/>
        </w:rPr>
        <w:t>特此声明！</w:t>
      </w:r>
    </w:p>
    <w:p>
      <w:pPr>
        <w:pStyle w:val="112"/>
        <w:widowControl/>
        <w:adjustRightInd w:val="0"/>
        <w:snapToGrid w:val="0"/>
        <w:spacing w:before="156" w:beforeLines="50" w:line="360" w:lineRule="auto"/>
        <w:ind w:firstLine="420"/>
        <w:rPr>
          <w:rFonts w:hint="eastAsia" w:ascii="宋体"/>
          <w:color w:val="000000"/>
          <w:szCs w:val="21"/>
        </w:rPr>
      </w:pPr>
    </w:p>
    <w:p>
      <w:pPr>
        <w:pStyle w:val="112"/>
        <w:widowControl/>
        <w:adjustRightInd w:val="0"/>
        <w:snapToGrid w:val="0"/>
        <w:spacing w:before="156" w:beforeLines="50" w:line="360" w:lineRule="auto"/>
        <w:ind w:firstLine="420"/>
        <w:rPr>
          <w:rFonts w:hint="eastAsia" w:ascii="宋体"/>
          <w:color w:val="000000"/>
          <w:szCs w:val="21"/>
        </w:rPr>
      </w:pPr>
    </w:p>
    <w:p>
      <w:pPr>
        <w:pStyle w:val="112"/>
        <w:adjustRightInd w:val="0"/>
        <w:snapToGrid w:val="0"/>
        <w:spacing w:before="156" w:beforeLines="50" w:line="360" w:lineRule="auto"/>
        <w:rPr>
          <w:rFonts w:hint="eastAsia" w:ascii="宋体"/>
          <w:color w:val="000000"/>
          <w:szCs w:val="21"/>
        </w:rPr>
      </w:pPr>
      <w:r>
        <w:rPr>
          <w:rFonts w:hint="eastAsia" w:ascii="宋体"/>
          <w:color w:val="000000"/>
          <w:szCs w:val="21"/>
        </w:rPr>
        <w:t xml:space="preserve">供应商名称（盖单位公章）： </w:t>
      </w:r>
    </w:p>
    <w:p>
      <w:pPr>
        <w:pStyle w:val="112"/>
        <w:widowControl/>
        <w:adjustRightInd w:val="0"/>
        <w:snapToGrid w:val="0"/>
        <w:spacing w:before="156" w:beforeLines="50" w:line="360" w:lineRule="auto"/>
        <w:rPr>
          <w:rFonts w:hint="eastAsia" w:ascii="宋体"/>
          <w:color w:val="000000"/>
          <w:szCs w:val="21"/>
        </w:rPr>
      </w:pPr>
      <w:r>
        <w:rPr>
          <w:rFonts w:hint="eastAsia" w:ascii="宋体"/>
          <w:color w:val="000000"/>
          <w:szCs w:val="21"/>
        </w:rPr>
        <w:t>法定代表人或其委托代理人(签字)：</w:t>
      </w:r>
    </w:p>
    <w:p>
      <w:pPr>
        <w:pStyle w:val="112"/>
        <w:widowControl/>
        <w:adjustRightInd w:val="0"/>
        <w:snapToGrid w:val="0"/>
        <w:spacing w:before="156" w:beforeLines="50" w:line="360" w:lineRule="auto"/>
        <w:rPr>
          <w:rFonts w:hint="eastAsia" w:ascii="宋体"/>
          <w:color w:val="000000"/>
          <w:szCs w:val="21"/>
        </w:rPr>
      </w:pPr>
      <w:r>
        <w:rPr>
          <w:rFonts w:hint="eastAsia" w:ascii="宋体"/>
          <w:color w:val="000000"/>
          <w:szCs w:val="21"/>
        </w:rPr>
        <w:t>日期：</w:t>
      </w:r>
      <w:r>
        <w:rPr>
          <w:rFonts w:hint="eastAsia" w:ascii="宋体"/>
          <w:color w:val="000000"/>
          <w:szCs w:val="21"/>
          <w:u w:val="single"/>
        </w:rPr>
        <w:t xml:space="preserve">       </w:t>
      </w:r>
      <w:r>
        <w:rPr>
          <w:rFonts w:hint="eastAsia" w:ascii="宋体"/>
          <w:color w:val="000000"/>
          <w:szCs w:val="21"/>
        </w:rPr>
        <w:t xml:space="preserve"> 年</w:t>
      </w:r>
      <w:r>
        <w:rPr>
          <w:rFonts w:hint="eastAsia" w:ascii="宋体"/>
          <w:color w:val="000000"/>
          <w:szCs w:val="21"/>
          <w:u w:val="single"/>
        </w:rPr>
        <w:t xml:space="preserve">    </w:t>
      </w:r>
      <w:r>
        <w:rPr>
          <w:rFonts w:hint="eastAsia" w:ascii="宋体"/>
          <w:color w:val="000000"/>
          <w:szCs w:val="21"/>
        </w:rPr>
        <w:t>月</w:t>
      </w:r>
      <w:r>
        <w:rPr>
          <w:rFonts w:hint="eastAsia" w:ascii="宋体"/>
          <w:color w:val="000000"/>
          <w:szCs w:val="21"/>
          <w:u w:val="single"/>
        </w:rPr>
        <w:t xml:space="preserve">     </w:t>
      </w:r>
      <w:r>
        <w:rPr>
          <w:rFonts w:hint="eastAsia" w:ascii="宋体"/>
          <w:color w:val="000000"/>
          <w:szCs w:val="21"/>
        </w:rPr>
        <w:t>日</w:t>
      </w: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Style w:val="10"/>
        <w:pageBreakBefore w:val="0"/>
        <w:kinsoku/>
        <w:wordWrap/>
        <w:overflowPunct/>
        <w:bidi w:val="0"/>
        <w:adjustRightInd w:val="0"/>
        <w:snapToGrid w:val="0"/>
        <w:spacing w:before="120" w:beforeLines="50" w:after="0" w:line="440" w:lineRule="exact"/>
        <w:rPr>
          <w:rFonts w:hint="eastAsia" w:ascii="黑体" w:hAnsi="仿宋" w:eastAsia="黑体" w:cs="宋体"/>
          <w:b w:val="0"/>
          <w:bCs w:val="0"/>
          <w:sz w:val="21"/>
          <w:szCs w:val="21"/>
          <w:lang w:eastAsia="zh-CN"/>
        </w:rPr>
      </w:pPr>
      <w:r>
        <w:rPr>
          <w:rFonts w:hint="eastAsia" w:ascii="黑体" w:hAnsi="仿宋" w:cs="宋体"/>
          <w:b w:val="0"/>
          <w:bCs w:val="0"/>
          <w:sz w:val="21"/>
          <w:szCs w:val="21"/>
        </w:rPr>
        <w:t>附件4-</w:t>
      </w:r>
      <w:r>
        <w:rPr>
          <w:rFonts w:hint="eastAsia" w:ascii="黑体" w:hAnsi="仿宋" w:cs="宋体"/>
          <w:b w:val="0"/>
          <w:bCs w:val="0"/>
          <w:sz w:val="21"/>
          <w:szCs w:val="21"/>
          <w:lang w:val="en-US" w:eastAsia="zh-CN"/>
        </w:rPr>
        <w:t>4</w:t>
      </w:r>
    </w:p>
    <w:p>
      <w:pPr>
        <w:pageBreakBefore w:val="0"/>
        <w:widowControl/>
        <w:kinsoku/>
        <w:wordWrap/>
        <w:overflowPunct/>
        <w:bidi w:val="0"/>
        <w:adjustRightInd w:val="0"/>
        <w:snapToGrid w:val="0"/>
        <w:spacing w:line="440" w:lineRule="exact"/>
        <w:jc w:val="center"/>
        <w:rPr>
          <w:rFonts w:ascii="黑体" w:hAnsi="仿宋" w:eastAsia="黑体" w:cs="宋体"/>
          <w:b/>
          <w:sz w:val="28"/>
          <w:szCs w:val="28"/>
        </w:rPr>
      </w:pPr>
      <w:r>
        <w:rPr>
          <w:rFonts w:hint="eastAsia" w:ascii="黑体" w:hAnsi="仿宋" w:eastAsia="黑体" w:cs="宋体"/>
          <w:b/>
          <w:sz w:val="28"/>
          <w:szCs w:val="28"/>
        </w:rPr>
        <w:t>符合特定资格条件证明材料复印件或者情况说明</w:t>
      </w:r>
    </w:p>
    <w:p>
      <w:pPr>
        <w:pageBreakBefore w:val="0"/>
        <w:widowControl/>
        <w:kinsoku/>
        <w:wordWrap/>
        <w:overflowPunct/>
        <w:bidi w:val="0"/>
        <w:adjustRightInd w:val="0"/>
        <w:snapToGrid w:val="0"/>
        <w:spacing w:line="440" w:lineRule="exact"/>
        <w:ind w:firstLine="560" w:firstLineChars="200"/>
        <w:jc w:val="left"/>
        <w:rPr>
          <w:rFonts w:ascii="黑体" w:hAnsi="仿宋" w:eastAsia="黑体" w:cs="宋体"/>
          <w:sz w:val="28"/>
          <w:szCs w:val="28"/>
        </w:rPr>
      </w:pPr>
    </w:p>
    <w:p>
      <w:pPr>
        <w:pageBreakBefore w:val="0"/>
        <w:widowControl/>
        <w:kinsoku/>
        <w:wordWrap/>
        <w:overflowPunct/>
        <w:bidi w:val="0"/>
        <w:adjustRightInd w:val="0"/>
        <w:snapToGrid w:val="0"/>
        <w:spacing w:line="440" w:lineRule="exact"/>
        <w:ind w:firstLine="420" w:firstLineChars="200"/>
        <w:jc w:val="left"/>
        <w:rPr>
          <w:rFonts w:ascii="宋体" w:hAnsi="宋体" w:cs="宋体"/>
          <w:szCs w:val="21"/>
        </w:rPr>
      </w:pPr>
      <w:r>
        <w:rPr>
          <w:rFonts w:hint="eastAsia" w:ascii="宋体" w:hAnsi="宋体" w:cs="宋体"/>
          <w:szCs w:val="21"/>
        </w:rPr>
        <w:t>注：</w:t>
      </w:r>
      <w:r>
        <w:rPr>
          <w:rFonts w:hint="eastAsia" w:ascii="宋体" w:hAnsi="宋体"/>
        </w:rPr>
        <w:t>提供第二章 磋商须知第3.1款供应商特定资格条件证明资料的复印件。</w:t>
      </w:r>
    </w:p>
    <w:p>
      <w:pPr>
        <w:pageBreakBefore w:val="0"/>
        <w:kinsoku/>
        <w:wordWrap/>
        <w:overflowPunct/>
        <w:bidi w:val="0"/>
        <w:adjustRightInd w:val="0"/>
        <w:snapToGrid w:val="0"/>
        <w:spacing w:line="440" w:lineRule="exact"/>
        <w:rPr>
          <w:rFonts w:hint="eastAsia" w:ascii="宋体" w:hAnsi="宋体" w:cs="宋体"/>
          <w:bCs/>
          <w:szCs w:val="21"/>
        </w:rPr>
      </w:pPr>
    </w:p>
    <w:p>
      <w:pPr>
        <w:pStyle w:val="2"/>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ageBreakBefore w:val="0"/>
        <w:kinsoku/>
        <w:wordWrap/>
        <w:overflowPunct/>
        <w:bidi w:val="0"/>
        <w:adjustRightInd w:val="0"/>
        <w:snapToGrid w:val="0"/>
        <w:spacing w:line="440" w:lineRule="exact"/>
        <w:rPr>
          <w:rFonts w:ascii="宋体" w:hAnsi="宋体" w:cs="宋体"/>
          <w:bCs/>
          <w:szCs w:val="21"/>
        </w:rPr>
      </w:pPr>
      <w:r>
        <w:rPr>
          <w:rFonts w:hint="eastAsia" w:ascii="宋体" w:hAnsi="宋体" w:cs="宋体"/>
          <w:bCs/>
          <w:szCs w:val="21"/>
        </w:rPr>
        <w:t>附件5</w:t>
      </w:r>
    </w:p>
    <w:p>
      <w:pPr>
        <w:pageBreakBefore w:val="0"/>
        <w:kinsoku/>
        <w:wordWrap/>
        <w:overflowPunct/>
        <w:bidi w:val="0"/>
        <w:adjustRightInd w:val="0"/>
        <w:snapToGrid w:val="0"/>
        <w:spacing w:line="440" w:lineRule="exact"/>
        <w:jc w:val="center"/>
        <w:rPr>
          <w:rFonts w:ascii="宋体" w:hAnsi="宋体" w:cs="宋体"/>
          <w:b/>
          <w:sz w:val="30"/>
          <w:szCs w:val="30"/>
        </w:rPr>
      </w:pPr>
      <w:r>
        <w:rPr>
          <w:rFonts w:hint="eastAsia" w:ascii="宋体" w:hAnsi="宋体" w:cs="宋体"/>
          <w:b/>
          <w:sz w:val="30"/>
          <w:szCs w:val="30"/>
        </w:rPr>
        <w:t>其他证明资料或说明</w:t>
      </w:r>
    </w:p>
    <w:p>
      <w:pPr>
        <w:pageBreakBefore w:val="0"/>
        <w:kinsoku/>
        <w:wordWrap/>
        <w:overflowPunct/>
        <w:bidi w:val="0"/>
        <w:adjustRightInd w:val="0"/>
        <w:snapToGrid w:val="0"/>
        <w:spacing w:line="440" w:lineRule="exact"/>
        <w:rPr>
          <w:rFonts w:ascii="宋体" w:hAnsi="宋体" w:cs="宋体"/>
          <w:szCs w:val="21"/>
        </w:rPr>
      </w:pPr>
    </w:p>
    <w:p>
      <w:pPr>
        <w:pageBreakBefore w:val="0"/>
        <w:kinsoku/>
        <w:wordWrap/>
        <w:overflowPunct/>
        <w:bidi w:val="0"/>
        <w:adjustRightInd w:val="0"/>
        <w:snapToGrid w:val="0"/>
        <w:spacing w:line="440" w:lineRule="exact"/>
        <w:jc w:val="center"/>
        <w:rPr>
          <w:rFonts w:ascii="宋体" w:hAnsi="宋体" w:cs="宋体"/>
          <w:szCs w:val="21"/>
        </w:rPr>
      </w:pPr>
      <w:r>
        <w:rPr>
          <w:rFonts w:hint="eastAsia" w:ascii="宋体" w:hAnsi="宋体" w:cs="宋体"/>
          <w:szCs w:val="21"/>
        </w:rPr>
        <w:t>提供磋商文件或评分标准需要提供的相关证明文件复印件</w:t>
      </w:r>
    </w:p>
    <w:p>
      <w:pPr>
        <w:pageBreakBefore w:val="0"/>
        <w:kinsoku/>
        <w:wordWrap/>
        <w:overflowPunct/>
        <w:bidi w:val="0"/>
        <w:spacing w:line="440" w:lineRule="exact"/>
        <w:rPr>
          <w:rFonts w:ascii="宋体" w:hAnsi="宋体"/>
          <w:sz w:val="24"/>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Style w:val="2"/>
        <w:pageBreakBefore w:val="0"/>
        <w:kinsoku/>
        <w:wordWrap/>
        <w:overflowPunct/>
        <w:bidi w:val="0"/>
        <w:spacing w:line="440" w:lineRule="exact"/>
        <w:ind w:firstLine="723"/>
        <w:rPr>
          <w:rFonts w:ascii="宋体" w:hAnsi="宋体" w:cs="宋体"/>
          <w:b/>
          <w:bCs/>
          <w:sz w:val="36"/>
          <w:szCs w:val="36"/>
        </w:rPr>
      </w:pPr>
    </w:p>
    <w:p>
      <w:pPr>
        <w:pStyle w:val="14"/>
        <w:pageBreakBefore w:val="0"/>
        <w:kinsoku/>
        <w:wordWrap/>
        <w:overflowPunct/>
        <w:bidi w:val="0"/>
        <w:spacing w:line="440" w:lineRule="exact"/>
        <w:rPr>
          <w:rFonts w:ascii="宋体" w:hAnsi="宋体" w:cs="宋体"/>
          <w:b/>
          <w:bCs/>
          <w:sz w:val="36"/>
          <w:szCs w:val="36"/>
        </w:rPr>
      </w:pPr>
    </w:p>
    <w:p>
      <w:pPr>
        <w:pStyle w:val="15"/>
        <w:pageBreakBefore w:val="0"/>
        <w:kinsoku/>
        <w:wordWrap/>
        <w:overflowPunct/>
        <w:bidi w:val="0"/>
        <w:spacing w:line="440" w:lineRule="exact"/>
        <w:ind w:firstLine="210"/>
      </w:pPr>
    </w:p>
    <w:p>
      <w:pPr>
        <w:pStyle w:val="14"/>
        <w:pageBreakBefore w:val="0"/>
        <w:kinsoku/>
        <w:wordWrap/>
        <w:overflowPunct/>
        <w:bidi w:val="0"/>
        <w:spacing w:line="440" w:lineRule="exact"/>
        <w:rPr>
          <w:rFonts w:ascii="宋体" w:hAnsi="宋体" w:cs="宋体"/>
          <w:b/>
          <w:bCs/>
          <w:sz w:val="36"/>
          <w:szCs w:val="36"/>
        </w:rPr>
      </w:pPr>
    </w:p>
    <w:p>
      <w:pPr>
        <w:pStyle w:val="15"/>
        <w:pageBreakBefore w:val="0"/>
        <w:kinsoku/>
        <w:wordWrap/>
        <w:overflowPunct/>
        <w:bidi w:val="0"/>
        <w:spacing w:line="440" w:lineRule="exact"/>
        <w:ind w:firstLine="361"/>
        <w:rPr>
          <w:rFonts w:ascii="宋体" w:hAnsi="宋体" w:cs="宋体"/>
          <w:b/>
          <w:bCs/>
          <w:sz w:val="36"/>
          <w:szCs w:val="36"/>
        </w:rPr>
      </w:pPr>
    </w:p>
    <w:p>
      <w:pPr>
        <w:pageBreakBefore w:val="0"/>
        <w:kinsoku/>
        <w:wordWrap/>
        <w:overflowPunct/>
        <w:bidi w:val="0"/>
        <w:spacing w:line="440" w:lineRule="exact"/>
        <w:rPr>
          <w:rFonts w:ascii="宋体" w:hAnsi="宋体" w:cs="宋体"/>
          <w:b/>
          <w:bCs/>
          <w:sz w:val="36"/>
          <w:szCs w:val="36"/>
        </w:rPr>
      </w:pPr>
    </w:p>
    <w:p>
      <w:pPr>
        <w:pStyle w:val="2"/>
        <w:pageBreakBefore w:val="0"/>
        <w:kinsoku/>
        <w:wordWrap/>
        <w:overflowPunct/>
        <w:bidi w:val="0"/>
        <w:spacing w:line="440" w:lineRule="exact"/>
        <w:ind w:firstLine="723"/>
        <w:rPr>
          <w:rFonts w:ascii="宋体" w:hAnsi="宋体" w:cs="宋体"/>
          <w:b/>
          <w:bCs/>
          <w:sz w:val="36"/>
          <w:szCs w:val="36"/>
        </w:rPr>
      </w:pPr>
    </w:p>
    <w:p>
      <w:pPr>
        <w:pStyle w:val="14"/>
        <w:pageBreakBefore w:val="0"/>
        <w:kinsoku/>
        <w:wordWrap/>
        <w:overflowPunct/>
        <w:bidi w:val="0"/>
        <w:spacing w:line="440" w:lineRule="exact"/>
        <w:rPr>
          <w:rFonts w:ascii="宋体" w:hAnsi="宋体" w:cs="宋体"/>
          <w:b/>
          <w:bCs/>
          <w:sz w:val="36"/>
          <w:szCs w:val="36"/>
        </w:rPr>
      </w:pPr>
    </w:p>
    <w:p>
      <w:pPr>
        <w:pStyle w:val="15"/>
        <w:pageBreakBefore w:val="0"/>
        <w:kinsoku/>
        <w:wordWrap/>
        <w:overflowPunct/>
        <w:bidi w:val="0"/>
        <w:spacing w:line="440" w:lineRule="exact"/>
        <w:ind w:firstLine="210"/>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Style w:val="7"/>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r>
        <w:rPr>
          <w:rFonts w:hint="eastAsia" w:ascii="宋体" w:hAnsi="宋体" w:cs="宋体"/>
          <w:b/>
          <w:bCs/>
          <w:sz w:val="36"/>
          <w:szCs w:val="36"/>
        </w:rPr>
        <w:t>三、服务方案说明</w:t>
      </w:r>
      <w:bookmarkEnd w:id="31"/>
    </w:p>
    <w:p>
      <w:pPr>
        <w:pageBreakBefore w:val="0"/>
        <w:kinsoku/>
        <w:wordWrap/>
        <w:overflowPunct/>
        <w:bidi w:val="0"/>
        <w:adjustRightInd w:val="0"/>
        <w:snapToGrid w:val="0"/>
        <w:spacing w:line="440" w:lineRule="exact"/>
        <w:ind w:right="420"/>
        <w:outlineLvl w:val="2"/>
        <w:rPr>
          <w:rFonts w:ascii="微软雅黑" w:hAnsi="微软雅黑" w:eastAsia="微软雅黑"/>
          <w:szCs w:val="21"/>
        </w:rPr>
      </w:pPr>
      <w:bookmarkStart w:id="34" w:name="_Toc24164"/>
      <w:r>
        <w:rPr>
          <w:rFonts w:hint="eastAsia" w:ascii="微软雅黑" w:hAnsi="微软雅黑" w:eastAsia="微软雅黑"/>
          <w:szCs w:val="21"/>
        </w:rPr>
        <w:t xml:space="preserve">附件6  </w:t>
      </w:r>
      <w:bookmarkEnd w:id="34"/>
    </w:p>
    <w:p>
      <w:pPr>
        <w:pageBreakBefore w:val="0"/>
        <w:kinsoku/>
        <w:wordWrap/>
        <w:overflowPunct/>
        <w:bidi w:val="0"/>
        <w:adjustRightInd w:val="0"/>
        <w:snapToGrid w:val="0"/>
        <w:spacing w:line="440" w:lineRule="exact"/>
        <w:rPr>
          <w:rFonts w:ascii="宋体" w:hAnsi="宋体"/>
          <w:szCs w:val="21"/>
        </w:rPr>
      </w:pPr>
    </w:p>
    <w:p>
      <w:pPr>
        <w:pageBreakBefore w:val="0"/>
        <w:kinsoku/>
        <w:wordWrap/>
        <w:overflowPunct/>
        <w:bidi w:val="0"/>
        <w:spacing w:line="440" w:lineRule="exact"/>
        <w:jc w:val="center"/>
        <w:rPr>
          <w:rFonts w:ascii="黑体" w:eastAsia="黑体"/>
          <w:sz w:val="30"/>
          <w:szCs w:val="30"/>
        </w:rPr>
      </w:pPr>
      <w:r>
        <w:rPr>
          <w:rFonts w:hint="eastAsia" w:ascii="黑体" w:eastAsia="黑体"/>
          <w:sz w:val="30"/>
          <w:szCs w:val="30"/>
        </w:rPr>
        <w:t>服务方案说明</w:t>
      </w:r>
    </w:p>
    <w:p>
      <w:pPr>
        <w:pageBreakBefore w:val="0"/>
        <w:kinsoku/>
        <w:wordWrap/>
        <w:overflowPunct/>
        <w:bidi w:val="0"/>
        <w:adjustRightInd w:val="0"/>
        <w:snapToGrid w:val="0"/>
        <w:spacing w:line="440" w:lineRule="exact"/>
        <w:rPr>
          <w:rFonts w:ascii="宋体" w:hAnsi="宋体" w:cs="宋体"/>
          <w:szCs w:val="21"/>
        </w:rPr>
      </w:pP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cs="宋体"/>
          <w:szCs w:val="21"/>
        </w:rPr>
        <w:t>服务类项目供应商应根据第四章规定及评审因素和标准要求自行编写技术服务方案。</w:t>
      </w:r>
    </w:p>
    <w:p>
      <w:pPr>
        <w:pageBreakBefore w:val="0"/>
        <w:kinsoku/>
        <w:wordWrap/>
        <w:overflowPunct/>
        <w:bidi w:val="0"/>
        <w:adjustRightInd w:val="0"/>
        <w:snapToGrid w:val="0"/>
        <w:spacing w:line="440" w:lineRule="exact"/>
        <w:rPr>
          <w:rFonts w:ascii="宋体" w:hAnsi="宋体"/>
          <w:szCs w:val="21"/>
        </w:rPr>
      </w:pPr>
    </w:p>
    <w:p>
      <w:pPr>
        <w:pageBreakBefore w:val="0"/>
        <w:kinsoku/>
        <w:wordWrap/>
        <w:overflowPunct/>
        <w:bidi w:val="0"/>
        <w:adjustRightInd w:val="0"/>
        <w:snapToGrid w:val="0"/>
        <w:spacing w:line="440" w:lineRule="exact"/>
        <w:rPr>
          <w:rFonts w:ascii="宋体" w:hAnsi="宋体"/>
          <w:szCs w:val="21"/>
        </w:rPr>
      </w:pPr>
    </w:p>
    <w:p>
      <w:pPr>
        <w:pageBreakBefore w:val="0"/>
        <w:kinsoku/>
        <w:wordWrap/>
        <w:overflowPunct/>
        <w:bidi w:val="0"/>
        <w:adjustRightInd w:val="0"/>
        <w:snapToGrid w:val="0"/>
        <w:spacing w:line="440" w:lineRule="exact"/>
        <w:rPr>
          <w:rFonts w:ascii="宋体" w:hAnsi="宋体"/>
          <w:szCs w:val="21"/>
        </w:rPr>
      </w:pPr>
    </w:p>
    <w:p>
      <w:pPr>
        <w:pStyle w:val="20"/>
        <w:pageBreakBefore w:val="0"/>
        <w:kinsoku/>
        <w:wordWrap/>
        <w:overflowPunct/>
        <w:bidi w:val="0"/>
        <w:adjustRightInd w:val="0"/>
        <w:snapToGrid w:val="0"/>
        <w:spacing w:line="440" w:lineRule="exact"/>
        <w:ind w:left="0" w:leftChars="0"/>
        <w:rPr>
          <w:rFonts w:ascii="宋体" w:hAnsi="宋体"/>
          <w:bCs/>
          <w:szCs w:val="21"/>
        </w:rPr>
      </w:pPr>
      <w:r>
        <w:rPr>
          <w:rFonts w:hint="eastAsia" w:ascii="宋体" w:hAnsi="宋体"/>
          <w:szCs w:val="21"/>
        </w:rPr>
        <w:t>供应商名称（盖单位章）：</w:t>
      </w:r>
    </w:p>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法定代表人或其委托代理人(签字)：</w:t>
      </w:r>
    </w:p>
    <w:p>
      <w:pPr>
        <w:pageBreakBefore w:val="0"/>
        <w:kinsoku/>
        <w:wordWrap/>
        <w:overflowPunct/>
        <w:bidi w:val="0"/>
        <w:spacing w:line="440" w:lineRule="exact"/>
        <w:rPr>
          <w:rFonts w:ascii="宋体"/>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ageBreakBefore w:val="0"/>
        <w:kinsoku/>
        <w:wordWrap/>
        <w:overflowPunct/>
        <w:bidi w:val="0"/>
        <w:spacing w:line="440" w:lineRule="exact"/>
        <w:rPr>
          <w:rFonts w:ascii="宋体" w:hAnsi="宋体"/>
          <w:sz w:val="24"/>
        </w:rPr>
      </w:pPr>
    </w:p>
    <w:p>
      <w:pPr>
        <w:pageBreakBefore w:val="0"/>
        <w:kinsoku/>
        <w:wordWrap/>
        <w:overflowPunct/>
        <w:bidi w:val="0"/>
        <w:spacing w:line="440" w:lineRule="exact"/>
        <w:rPr>
          <w:rFonts w:ascii="宋体" w:hAnsi="宋体"/>
          <w:sz w:val="24"/>
        </w:rPr>
      </w:pPr>
    </w:p>
    <w:p>
      <w:pPr>
        <w:pageBreakBefore w:val="0"/>
        <w:kinsoku/>
        <w:wordWrap/>
        <w:overflowPunct/>
        <w:bidi w:val="0"/>
        <w:spacing w:line="440" w:lineRule="exact"/>
        <w:rPr>
          <w:rFonts w:ascii="宋体" w:hAnsi="宋体"/>
          <w:sz w:val="24"/>
        </w:rPr>
      </w:pPr>
    </w:p>
    <w:p>
      <w:pPr>
        <w:pageBreakBefore w:val="0"/>
        <w:kinsoku/>
        <w:wordWrap/>
        <w:overflowPunct/>
        <w:bidi w:val="0"/>
        <w:spacing w:line="440" w:lineRule="exact"/>
        <w:rPr>
          <w:rFonts w:ascii="宋体" w:hAnsi="宋体"/>
          <w:sz w:val="24"/>
        </w:rPr>
      </w:pPr>
    </w:p>
    <w:p>
      <w:pPr>
        <w:pageBreakBefore w:val="0"/>
        <w:widowControl/>
        <w:kinsoku/>
        <w:wordWrap/>
        <w:overflowPunct/>
        <w:bidi w:val="0"/>
        <w:spacing w:line="440" w:lineRule="exact"/>
        <w:jc w:val="left"/>
        <w:sectPr>
          <w:pgSz w:w="11906" w:h="16838"/>
          <w:pgMar w:top="1134" w:right="1134" w:bottom="1134" w:left="1134" w:header="510" w:footer="624" w:gutter="0"/>
          <w:cols w:space="720" w:num="1"/>
          <w:docGrid w:linePitch="312" w:charSpace="0"/>
        </w:sect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bookmarkStart w:id="35" w:name="_Toc24460"/>
      <w:bookmarkStart w:id="36" w:name="_Toc472022217"/>
      <w:r>
        <w:rPr>
          <w:rFonts w:hint="eastAsia" w:ascii="宋体" w:hAnsi="宋体" w:cs="宋体"/>
          <w:b/>
          <w:bCs/>
          <w:sz w:val="36"/>
          <w:szCs w:val="36"/>
        </w:rPr>
        <w:t>四、技术/商务响应与偏离表</w:t>
      </w:r>
      <w:bookmarkEnd w:id="35"/>
      <w:bookmarkEnd w:id="36"/>
    </w:p>
    <w:tbl>
      <w:tblPr>
        <w:tblStyle w:val="31"/>
        <w:tblW w:w="0" w:type="auto"/>
        <w:tblInd w:w="0" w:type="dxa"/>
        <w:tblLayout w:type="fixed"/>
        <w:tblCellMar>
          <w:top w:w="0" w:type="dxa"/>
          <w:left w:w="28" w:type="dxa"/>
          <w:bottom w:w="0" w:type="dxa"/>
          <w:right w:w="28" w:type="dxa"/>
        </w:tblCellMar>
      </w:tblPr>
      <w:tblGrid>
        <w:gridCol w:w="634"/>
        <w:gridCol w:w="1685"/>
        <w:gridCol w:w="4593"/>
        <w:gridCol w:w="4594"/>
        <w:gridCol w:w="1517"/>
        <w:gridCol w:w="1119"/>
      </w:tblGrid>
      <w:tr>
        <w:tblPrEx>
          <w:tblCellMar>
            <w:top w:w="0" w:type="dxa"/>
            <w:left w:w="28" w:type="dxa"/>
            <w:bottom w:w="0" w:type="dxa"/>
            <w:right w:w="28" w:type="dxa"/>
          </w:tblCellMar>
        </w:tblPrEx>
        <w:trPr>
          <w:trHeight w:val="504" w:hRule="atLeast"/>
        </w:trPr>
        <w:tc>
          <w:tcPr>
            <w:tcW w:w="634" w:type="dxa"/>
            <w:tcBorders>
              <w:top w:val="double" w:color="auto" w:sz="2"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jc w:val="center"/>
              <w:rPr>
                <w:rFonts w:ascii="宋体" w:hAnsi="宋体"/>
                <w:b/>
                <w:bCs/>
                <w:szCs w:val="21"/>
              </w:rPr>
            </w:pPr>
            <w:r>
              <w:rPr>
                <w:rFonts w:hint="eastAsia" w:ascii="宋体" w:hAnsi="宋体"/>
                <w:b/>
              </w:rPr>
              <w:t>序号</w:t>
            </w:r>
          </w:p>
        </w:tc>
        <w:tc>
          <w:tcPr>
            <w:tcW w:w="1685" w:type="dxa"/>
            <w:tcBorders>
              <w:top w:val="double" w:color="auto" w:sz="2"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rPr>
              <w:t>磋商文件条目号</w:t>
            </w:r>
          </w:p>
        </w:tc>
        <w:tc>
          <w:tcPr>
            <w:tcW w:w="4593" w:type="dxa"/>
            <w:tcBorders>
              <w:top w:val="double" w:color="auto" w:sz="2"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rPr>
              <w:t>采购规格/商务条款</w:t>
            </w:r>
          </w:p>
        </w:tc>
        <w:tc>
          <w:tcPr>
            <w:tcW w:w="4594" w:type="dxa"/>
            <w:tcBorders>
              <w:top w:val="double" w:color="auto" w:sz="2"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rPr>
              <w:t>响应文件的规格/商务条款</w:t>
            </w:r>
          </w:p>
        </w:tc>
        <w:tc>
          <w:tcPr>
            <w:tcW w:w="1517" w:type="dxa"/>
            <w:tcBorders>
              <w:top w:val="double" w:color="auto" w:sz="2"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jc w:val="center"/>
              <w:rPr>
                <w:rFonts w:ascii="宋体" w:hAnsi="宋体"/>
                <w:b/>
                <w:bCs/>
                <w:szCs w:val="21"/>
              </w:rPr>
            </w:pPr>
            <w:r>
              <w:rPr>
                <w:rFonts w:hint="eastAsia" w:ascii="宋体" w:hAnsi="宋体"/>
                <w:b/>
              </w:rPr>
              <w:t>响应与偏离</w:t>
            </w:r>
          </w:p>
        </w:tc>
        <w:tc>
          <w:tcPr>
            <w:tcW w:w="1119" w:type="dxa"/>
            <w:tcBorders>
              <w:top w:val="double" w:color="auto" w:sz="2" w:space="0"/>
              <w:left w:val="nil"/>
              <w:bottom w:val="single" w:color="auto" w:sz="6" w:space="0"/>
              <w:right w:val="double" w:color="auto" w:sz="2" w:space="0"/>
            </w:tcBorders>
            <w:vAlign w:val="center"/>
          </w:tcPr>
          <w:p>
            <w:pPr>
              <w:pageBreakBefore w:val="0"/>
              <w:kinsoku/>
              <w:wordWrap/>
              <w:overflowPunct/>
              <w:bidi w:val="0"/>
              <w:adjustRightInd w:val="0"/>
              <w:snapToGrid w:val="0"/>
              <w:spacing w:line="440" w:lineRule="exact"/>
              <w:jc w:val="center"/>
              <w:rPr>
                <w:rFonts w:ascii="宋体" w:hAnsi="宋体"/>
                <w:b/>
                <w:bCs/>
                <w:szCs w:val="21"/>
              </w:rPr>
            </w:pPr>
            <w:r>
              <w:rPr>
                <w:rFonts w:hint="eastAsia" w:ascii="宋体" w:hAnsi="宋体"/>
                <w:b/>
              </w:rPr>
              <w:t>说明</w:t>
            </w:r>
          </w:p>
        </w:tc>
      </w:tr>
      <w:tr>
        <w:tblPrEx>
          <w:tblCellMar>
            <w:top w:w="0" w:type="dxa"/>
            <w:left w:w="28" w:type="dxa"/>
            <w:bottom w:w="0" w:type="dxa"/>
            <w:right w:w="28" w:type="dxa"/>
          </w:tblCellMar>
        </w:tblPrEx>
        <w:trPr>
          <w:trHeight w:val="505" w:hRule="atLeast"/>
        </w:trPr>
        <w:tc>
          <w:tcPr>
            <w:tcW w:w="634" w:type="dxa"/>
            <w:tcBorders>
              <w:top w:val="single" w:color="auto" w:sz="6" w:space="0"/>
              <w:left w:val="double" w:color="auto" w:sz="2" w:space="0"/>
              <w:bottom w:val="single" w:color="auto" w:sz="6" w:space="0"/>
              <w:right w:val="single" w:color="auto" w:sz="6" w:space="0"/>
            </w:tcBorders>
            <w:vAlign w:val="center"/>
          </w:tcPr>
          <w:p>
            <w:pPr>
              <w:pageBreakBefore w:val="0"/>
              <w:numPr>
                <w:ilvl w:val="0"/>
                <w:numId w:val="10"/>
              </w:numPr>
              <w:kinsoku/>
              <w:wordWrap/>
              <w:overflowPunct/>
              <w:bidi w:val="0"/>
              <w:adjustRightInd w:val="0"/>
              <w:snapToGrid w:val="0"/>
              <w:spacing w:line="440" w:lineRule="exact"/>
              <w:jc w:val="center"/>
              <w:rPr>
                <w:rFonts w:ascii="宋体" w:hAnsi="宋体"/>
                <w:szCs w:val="21"/>
              </w:rPr>
            </w:pPr>
          </w:p>
        </w:tc>
        <w:tc>
          <w:tcPr>
            <w:tcW w:w="1685"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4593"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4594"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1517"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1119" w:type="dxa"/>
            <w:tcBorders>
              <w:top w:val="single" w:color="auto" w:sz="6" w:space="0"/>
              <w:left w:val="nil"/>
              <w:bottom w:val="single" w:color="auto" w:sz="6" w:space="0"/>
              <w:right w:val="double" w:color="auto" w:sz="2"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r>
      <w:tr>
        <w:tblPrEx>
          <w:tblCellMar>
            <w:top w:w="0" w:type="dxa"/>
            <w:left w:w="28" w:type="dxa"/>
            <w:bottom w:w="0" w:type="dxa"/>
            <w:right w:w="28" w:type="dxa"/>
          </w:tblCellMar>
        </w:tblPrEx>
        <w:trPr>
          <w:trHeight w:val="505" w:hRule="atLeast"/>
        </w:trPr>
        <w:tc>
          <w:tcPr>
            <w:tcW w:w="634" w:type="dxa"/>
            <w:tcBorders>
              <w:top w:val="single" w:color="auto" w:sz="6" w:space="0"/>
              <w:left w:val="double" w:color="auto" w:sz="2" w:space="0"/>
              <w:bottom w:val="single" w:color="auto" w:sz="6" w:space="0"/>
              <w:right w:val="single" w:color="auto" w:sz="6" w:space="0"/>
            </w:tcBorders>
            <w:vAlign w:val="center"/>
          </w:tcPr>
          <w:p>
            <w:pPr>
              <w:pageBreakBefore w:val="0"/>
              <w:numPr>
                <w:ilvl w:val="0"/>
                <w:numId w:val="10"/>
              </w:numPr>
              <w:kinsoku/>
              <w:wordWrap/>
              <w:overflowPunct/>
              <w:bidi w:val="0"/>
              <w:adjustRightInd w:val="0"/>
              <w:snapToGrid w:val="0"/>
              <w:spacing w:line="440" w:lineRule="exact"/>
              <w:jc w:val="center"/>
              <w:rPr>
                <w:rFonts w:ascii="宋体" w:hAnsi="宋体"/>
                <w:szCs w:val="21"/>
              </w:rPr>
            </w:pPr>
          </w:p>
        </w:tc>
        <w:tc>
          <w:tcPr>
            <w:tcW w:w="1685"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4593"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4594"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1517"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1119" w:type="dxa"/>
            <w:tcBorders>
              <w:top w:val="single" w:color="auto" w:sz="6" w:space="0"/>
              <w:left w:val="nil"/>
              <w:bottom w:val="single" w:color="auto" w:sz="6" w:space="0"/>
              <w:right w:val="double" w:color="auto" w:sz="2"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r>
      <w:tr>
        <w:tblPrEx>
          <w:tblCellMar>
            <w:top w:w="0" w:type="dxa"/>
            <w:left w:w="28" w:type="dxa"/>
            <w:bottom w:w="0" w:type="dxa"/>
            <w:right w:w="28" w:type="dxa"/>
          </w:tblCellMar>
        </w:tblPrEx>
        <w:trPr>
          <w:trHeight w:val="505" w:hRule="atLeast"/>
        </w:trPr>
        <w:tc>
          <w:tcPr>
            <w:tcW w:w="634" w:type="dxa"/>
            <w:tcBorders>
              <w:top w:val="single" w:color="auto" w:sz="6" w:space="0"/>
              <w:left w:val="double" w:color="auto" w:sz="2" w:space="0"/>
              <w:bottom w:val="single" w:color="auto" w:sz="6" w:space="0"/>
              <w:right w:val="single" w:color="auto" w:sz="6" w:space="0"/>
            </w:tcBorders>
            <w:vAlign w:val="center"/>
          </w:tcPr>
          <w:p>
            <w:pPr>
              <w:pageBreakBefore w:val="0"/>
              <w:numPr>
                <w:ilvl w:val="0"/>
                <w:numId w:val="10"/>
              </w:numPr>
              <w:kinsoku/>
              <w:wordWrap/>
              <w:overflowPunct/>
              <w:bidi w:val="0"/>
              <w:adjustRightInd w:val="0"/>
              <w:snapToGrid w:val="0"/>
              <w:spacing w:line="440" w:lineRule="exact"/>
              <w:jc w:val="center"/>
              <w:rPr>
                <w:rFonts w:ascii="宋体" w:hAnsi="宋体"/>
                <w:szCs w:val="21"/>
              </w:rPr>
            </w:pPr>
          </w:p>
        </w:tc>
        <w:tc>
          <w:tcPr>
            <w:tcW w:w="1685"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4593"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4594"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1517"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1119" w:type="dxa"/>
            <w:tcBorders>
              <w:top w:val="single" w:color="auto" w:sz="6" w:space="0"/>
              <w:left w:val="nil"/>
              <w:bottom w:val="single" w:color="auto" w:sz="6" w:space="0"/>
              <w:right w:val="double" w:color="auto" w:sz="2"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r>
      <w:tr>
        <w:tblPrEx>
          <w:tblCellMar>
            <w:top w:w="0" w:type="dxa"/>
            <w:left w:w="28" w:type="dxa"/>
            <w:bottom w:w="0" w:type="dxa"/>
            <w:right w:w="28" w:type="dxa"/>
          </w:tblCellMar>
        </w:tblPrEx>
        <w:trPr>
          <w:trHeight w:val="505" w:hRule="atLeast"/>
        </w:trPr>
        <w:tc>
          <w:tcPr>
            <w:tcW w:w="634" w:type="dxa"/>
            <w:tcBorders>
              <w:top w:val="single" w:color="auto" w:sz="6" w:space="0"/>
              <w:left w:val="double" w:color="auto" w:sz="2" w:space="0"/>
              <w:bottom w:val="single" w:color="auto" w:sz="6" w:space="0"/>
              <w:right w:val="single" w:color="auto" w:sz="6" w:space="0"/>
            </w:tcBorders>
            <w:vAlign w:val="center"/>
          </w:tcPr>
          <w:p>
            <w:pPr>
              <w:pageBreakBefore w:val="0"/>
              <w:numPr>
                <w:ilvl w:val="0"/>
                <w:numId w:val="10"/>
              </w:numPr>
              <w:kinsoku/>
              <w:wordWrap/>
              <w:overflowPunct/>
              <w:bidi w:val="0"/>
              <w:adjustRightInd w:val="0"/>
              <w:snapToGrid w:val="0"/>
              <w:spacing w:line="440" w:lineRule="exact"/>
              <w:jc w:val="center"/>
              <w:rPr>
                <w:rFonts w:ascii="宋体" w:hAnsi="宋体"/>
                <w:szCs w:val="21"/>
              </w:rPr>
            </w:pPr>
          </w:p>
        </w:tc>
        <w:tc>
          <w:tcPr>
            <w:tcW w:w="1685"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4593"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4594"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1517"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1119" w:type="dxa"/>
            <w:tcBorders>
              <w:top w:val="single" w:color="auto" w:sz="6" w:space="0"/>
              <w:left w:val="nil"/>
              <w:bottom w:val="single" w:color="auto" w:sz="6" w:space="0"/>
              <w:right w:val="double" w:color="auto" w:sz="2"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r>
      <w:tr>
        <w:tblPrEx>
          <w:tblCellMar>
            <w:top w:w="0" w:type="dxa"/>
            <w:left w:w="28" w:type="dxa"/>
            <w:bottom w:w="0" w:type="dxa"/>
            <w:right w:w="28" w:type="dxa"/>
          </w:tblCellMar>
        </w:tblPrEx>
        <w:trPr>
          <w:trHeight w:val="505" w:hRule="atLeast"/>
        </w:trPr>
        <w:tc>
          <w:tcPr>
            <w:tcW w:w="634" w:type="dxa"/>
            <w:tcBorders>
              <w:top w:val="single" w:color="auto" w:sz="6" w:space="0"/>
              <w:left w:val="double" w:color="auto" w:sz="2" w:space="0"/>
              <w:bottom w:val="double" w:color="auto" w:sz="2"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1685" w:type="dxa"/>
            <w:tcBorders>
              <w:top w:val="single" w:color="auto" w:sz="6" w:space="0"/>
              <w:left w:val="nil"/>
              <w:bottom w:val="double" w:color="auto" w:sz="2"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4593" w:type="dxa"/>
            <w:tcBorders>
              <w:top w:val="single" w:color="auto" w:sz="6" w:space="0"/>
              <w:left w:val="nil"/>
              <w:bottom w:val="double" w:color="auto" w:sz="2"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4594" w:type="dxa"/>
            <w:tcBorders>
              <w:top w:val="single" w:color="auto" w:sz="6" w:space="0"/>
              <w:left w:val="nil"/>
              <w:bottom w:val="double" w:color="auto" w:sz="2"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1517" w:type="dxa"/>
            <w:tcBorders>
              <w:top w:val="single" w:color="auto" w:sz="6" w:space="0"/>
              <w:left w:val="nil"/>
              <w:bottom w:val="double" w:color="auto" w:sz="2"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1119" w:type="dxa"/>
            <w:tcBorders>
              <w:top w:val="single" w:color="auto" w:sz="6" w:space="0"/>
              <w:left w:val="nil"/>
              <w:bottom w:val="double" w:color="auto" w:sz="2" w:space="0"/>
              <w:right w:val="double" w:color="auto" w:sz="2"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r>
    </w:tbl>
    <w:p>
      <w:pPr>
        <w:pageBreakBefore w:val="0"/>
        <w:kinsoku/>
        <w:wordWrap/>
        <w:overflowPunct/>
        <w:bidi w:val="0"/>
        <w:adjustRightInd w:val="0"/>
        <w:snapToGrid w:val="0"/>
        <w:spacing w:before="120" w:beforeLines="50" w:line="440" w:lineRule="exact"/>
        <w:ind w:left="857" w:leftChars="-42" w:hanging="945" w:hangingChars="450"/>
        <w:rPr>
          <w:rFonts w:ascii="宋体" w:hAnsi="宋体"/>
          <w:szCs w:val="21"/>
        </w:rPr>
      </w:pPr>
      <w:r>
        <w:rPr>
          <w:rFonts w:hint="eastAsia" w:ascii="宋体" w:hAnsi="宋体"/>
        </w:rPr>
        <w:t>说明：1、响应文件中技术、服务、商务条款与磋商文件存在偏离时，必须在“响应与偏离”应注明“响应”或“偏离”，并按表中格式填写偏离的内容。</w:t>
      </w:r>
    </w:p>
    <w:p>
      <w:pPr>
        <w:pageBreakBefore w:val="0"/>
        <w:kinsoku/>
        <w:wordWrap/>
        <w:overflowPunct/>
        <w:bidi w:val="0"/>
        <w:spacing w:line="440" w:lineRule="exact"/>
        <w:ind w:left="840" w:leftChars="250" w:hanging="315" w:hangingChars="150"/>
        <w:rPr>
          <w:rFonts w:ascii="宋体" w:hAnsi="宋体"/>
        </w:rPr>
      </w:pPr>
      <w:r>
        <w:rPr>
          <w:rFonts w:hint="eastAsia" w:ascii="宋体" w:hAnsi="宋体"/>
        </w:rPr>
        <w:t>2、若响应文件完全满足磋商文件的要求，则在“响应文件的规格/商务条款”栏中填写“完全满足磋商文件所有技术、服务及商务条款的要求，无偏离”。</w:t>
      </w:r>
    </w:p>
    <w:p>
      <w:pPr>
        <w:pageBreakBefore w:val="0"/>
        <w:kinsoku/>
        <w:wordWrap/>
        <w:overflowPunct/>
        <w:bidi w:val="0"/>
        <w:spacing w:line="440" w:lineRule="exact"/>
        <w:ind w:left="840" w:leftChars="250" w:hanging="315" w:hangingChars="150"/>
      </w:pPr>
      <w:r>
        <w:rPr>
          <w:rFonts w:hint="eastAsia" w:ascii="宋体" w:hAnsi="宋体"/>
        </w:rPr>
        <w:t>3、属磋商文件规定可能变动的内容在“说明”栏中注明。</w:t>
      </w:r>
    </w:p>
    <w:p>
      <w:pPr>
        <w:pageBreakBefore w:val="0"/>
        <w:kinsoku/>
        <w:wordWrap/>
        <w:overflowPunct/>
        <w:bidi w:val="0"/>
        <w:adjustRightInd w:val="0"/>
        <w:snapToGrid w:val="0"/>
        <w:spacing w:line="440" w:lineRule="exact"/>
        <w:ind w:left="-88" w:leftChars="-42"/>
        <w:rPr>
          <w:rFonts w:ascii="宋体" w:hAnsi="宋体"/>
        </w:rPr>
      </w:pPr>
    </w:p>
    <w:p>
      <w:pPr>
        <w:pStyle w:val="18"/>
        <w:pageBreakBefore w:val="0"/>
        <w:kinsoku/>
        <w:wordWrap/>
        <w:overflowPunct/>
        <w:bidi w:val="0"/>
        <w:adjustRightInd w:val="0"/>
        <w:snapToGrid w:val="0"/>
        <w:spacing w:before="120" w:beforeLines="50" w:after="120" w:afterLines="50" w:line="440" w:lineRule="exact"/>
        <w:rPr>
          <w:rFonts w:hAnsi="宋体"/>
        </w:rPr>
      </w:pPr>
      <w:r>
        <w:rPr>
          <w:rFonts w:hint="eastAsia" w:hAnsi="宋体"/>
        </w:rPr>
        <w:t>供应商名称(盖单位章)：</w:t>
      </w:r>
    </w:p>
    <w:p>
      <w:pPr>
        <w:pageBreakBefore w:val="0"/>
        <w:kinsoku/>
        <w:wordWrap/>
        <w:overflowPunct/>
        <w:bidi w:val="0"/>
        <w:adjustRightInd w:val="0"/>
        <w:snapToGrid w:val="0"/>
        <w:spacing w:before="120" w:beforeLines="50" w:after="120" w:afterLines="50" w:line="440" w:lineRule="exact"/>
        <w:rPr>
          <w:rFonts w:ascii="宋体" w:hAnsi="宋体"/>
        </w:rPr>
      </w:pPr>
      <w:r>
        <w:rPr>
          <w:rFonts w:hint="eastAsia" w:ascii="宋体" w:hAnsi="宋体"/>
        </w:rPr>
        <w:t>法定代表人或其委托代理人 (签字)：</w:t>
      </w:r>
    </w:p>
    <w:p>
      <w:pPr>
        <w:pageBreakBefore w:val="0"/>
        <w:kinsoku/>
        <w:wordWrap/>
        <w:overflowPunct/>
        <w:bidi w:val="0"/>
        <w:adjustRightInd w:val="0"/>
        <w:snapToGrid w:val="0"/>
        <w:spacing w:before="120" w:beforeLines="50" w:after="120" w:afterLines="50" w:line="440" w:lineRule="exact"/>
        <w:rPr>
          <w:rFonts w:ascii="宋体" w:hAnsi="宋体"/>
          <w:b/>
          <w:bCs/>
          <w:sz w:val="32"/>
          <w:szCs w:val="32"/>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pageBreakBefore w:val="0"/>
        <w:kinsoku/>
        <w:wordWrap/>
        <w:overflowPunct/>
        <w:bidi w:val="0"/>
        <w:adjustRightInd w:val="0"/>
        <w:snapToGrid w:val="0"/>
        <w:spacing w:line="440" w:lineRule="exact"/>
        <w:jc w:val="center"/>
        <w:rPr>
          <w:rFonts w:ascii="宋体" w:hAnsi="宋体"/>
          <w:b/>
          <w:bCs/>
          <w:sz w:val="32"/>
          <w:szCs w:val="32"/>
        </w:rPr>
      </w:pPr>
    </w:p>
    <w:p>
      <w:pPr>
        <w:pageBreakBefore w:val="0"/>
        <w:kinsoku/>
        <w:wordWrap/>
        <w:overflowPunct/>
        <w:bidi w:val="0"/>
        <w:adjustRightInd w:val="0"/>
        <w:snapToGrid w:val="0"/>
        <w:spacing w:line="440" w:lineRule="exact"/>
        <w:jc w:val="center"/>
        <w:rPr>
          <w:rFonts w:ascii="宋体" w:hAnsi="宋体"/>
          <w:b/>
          <w:bCs/>
          <w:sz w:val="32"/>
          <w:szCs w:val="32"/>
        </w:rPr>
        <w:sectPr>
          <w:pgSz w:w="16838" w:h="11906" w:orient="landscape"/>
          <w:pgMar w:top="1134" w:right="1134" w:bottom="1134" w:left="1134" w:header="510" w:footer="624" w:gutter="0"/>
          <w:cols w:space="720" w:num="1"/>
          <w:docGrid w:linePitch="312" w:charSpace="0"/>
        </w:sect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bookmarkStart w:id="37" w:name="_Toc16854"/>
      <w:bookmarkStart w:id="38" w:name="_Toc472022218"/>
      <w:r>
        <w:rPr>
          <w:rFonts w:hint="eastAsia" w:ascii="宋体" w:hAnsi="宋体" w:cs="宋体"/>
          <w:b/>
          <w:bCs/>
          <w:sz w:val="36"/>
          <w:szCs w:val="36"/>
        </w:rPr>
        <w:t>五、提供政府采购政策产品等证明材料</w:t>
      </w:r>
      <w:bookmarkEnd w:id="37"/>
      <w:bookmarkEnd w:id="38"/>
    </w:p>
    <w:p>
      <w:pPr>
        <w:pageBreakBefore w:val="0"/>
        <w:kinsoku/>
        <w:wordWrap/>
        <w:overflowPunct/>
        <w:bidi w:val="0"/>
        <w:adjustRightInd w:val="0"/>
        <w:snapToGrid w:val="0"/>
        <w:spacing w:line="440" w:lineRule="exact"/>
        <w:ind w:right="420"/>
        <w:outlineLvl w:val="2"/>
        <w:rPr>
          <w:rFonts w:ascii="宋体" w:hAnsi="宋体"/>
          <w:szCs w:val="21"/>
        </w:rPr>
      </w:pPr>
      <w:bookmarkStart w:id="39" w:name="_Toc28169"/>
      <w:r>
        <w:rPr>
          <w:rFonts w:hint="eastAsia" w:ascii="微软雅黑" w:hAnsi="微软雅黑" w:eastAsia="微软雅黑"/>
          <w:szCs w:val="21"/>
        </w:rPr>
        <w:t xml:space="preserve">附件7-1  </w:t>
      </w:r>
      <w:bookmarkEnd w:id="39"/>
    </w:p>
    <w:p>
      <w:pPr>
        <w:pageBreakBefore w:val="0"/>
        <w:kinsoku/>
        <w:wordWrap/>
        <w:overflowPunct/>
        <w:bidi w:val="0"/>
        <w:adjustRightInd w:val="0"/>
        <w:snapToGrid w:val="0"/>
        <w:spacing w:line="440" w:lineRule="exact"/>
        <w:jc w:val="center"/>
        <w:rPr>
          <w:rFonts w:ascii="宋体" w:hAnsi="宋体" w:cs="宋体"/>
          <w:kern w:val="0"/>
          <w:sz w:val="36"/>
          <w:szCs w:val="36"/>
        </w:rPr>
      </w:pPr>
      <w:bookmarkStart w:id="40" w:name="_Toc17068"/>
      <w:r>
        <w:rPr>
          <w:rFonts w:hint="eastAsia" w:ascii="宋体" w:hAnsi="宋体" w:cs="宋体"/>
          <w:spacing w:val="6"/>
          <w:kern w:val="0"/>
          <w:sz w:val="36"/>
          <w:szCs w:val="36"/>
        </w:rPr>
        <w:t>中小企业声明函（服务）</w:t>
      </w:r>
    </w:p>
    <w:p>
      <w:pPr>
        <w:pageBreakBefore w:val="0"/>
        <w:widowControl/>
        <w:kinsoku/>
        <w:wordWrap/>
        <w:overflowPunct/>
        <w:bidi w:val="0"/>
        <w:adjustRightInd w:val="0"/>
        <w:snapToGrid w:val="0"/>
        <w:spacing w:before="120" w:beforeLines="50" w:line="440" w:lineRule="exact"/>
        <w:ind w:firstLine="444" w:firstLineChars="200"/>
        <w:jc w:val="left"/>
        <w:rPr>
          <w:rFonts w:ascii="宋体" w:hAnsi="宋体"/>
          <w:spacing w:val="6"/>
          <w:kern w:val="0"/>
          <w:szCs w:val="21"/>
        </w:rPr>
      </w:pPr>
    </w:p>
    <w:p>
      <w:pPr>
        <w:pageBreakBefore w:val="0"/>
        <w:widowControl/>
        <w:kinsoku/>
        <w:wordWrap/>
        <w:overflowPunct/>
        <w:bidi w:val="0"/>
        <w:adjustRightInd w:val="0"/>
        <w:snapToGrid w:val="0"/>
        <w:spacing w:line="440" w:lineRule="exact"/>
        <w:ind w:firstLine="444" w:firstLineChars="200"/>
        <w:jc w:val="left"/>
        <w:rPr>
          <w:rFonts w:ascii="宋体" w:hAnsi="宋体" w:cs="宋体"/>
          <w:kern w:val="0"/>
          <w:szCs w:val="21"/>
        </w:rPr>
      </w:pPr>
      <w:r>
        <w:rPr>
          <w:rFonts w:hint="eastAsia" w:ascii="宋体" w:hAnsi="宋体" w:cs="宋体"/>
          <w:spacing w:val="6"/>
          <w:kern w:val="0"/>
          <w:szCs w:val="21"/>
        </w:rPr>
        <w:t>本公司（联合体）郑重声明，根据《政府采购促进中小企业发展管理办法》（财库[2020]46号）的规定，本公司（联合体）参加</w:t>
      </w:r>
      <w:r>
        <w:rPr>
          <w:rFonts w:hint="eastAsia" w:ascii="宋体" w:hAnsi="宋体" w:cs="宋体"/>
          <w:spacing w:val="6"/>
          <w:kern w:val="0"/>
          <w:szCs w:val="21"/>
          <w:u w:val="single"/>
        </w:rPr>
        <w:t xml:space="preserve"> （</w:t>
      </w:r>
      <w:r>
        <w:rPr>
          <w:rFonts w:hint="eastAsia" w:ascii="宋体" w:hAnsi="宋体" w:cs="宋体"/>
          <w:i/>
          <w:iCs/>
          <w:spacing w:val="6"/>
          <w:kern w:val="0"/>
          <w:szCs w:val="21"/>
          <w:u w:val="single"/>
        </w:rPr>
        <w:t>单位名称</w:t>
      </w:r>
      <w:r>
        <w:rPr>
          <w:rFonts w:hint="eastAsia" w:ascii="宋体" w:hAnsi="宋体" w:cs="宋体"/>
          <w:spacing w:val="6"/>
          <w:kern w:val="0"/>
          <w:szCs w:val="21"/>
          <w:u w:val="single"/>
        </w:rPr>
        <w:t xml:space="preserve">） </w:t>
      </w:r>
      <w:r>
        <w:rPr>
          <w:rFonts w:hint="eastAsia" w:ascii="宋体" w:hAnsi="宋体" w:cs="宋体"/>
          <w:spacing w:val="6"/>
          <w:kern w:val="0"/>
          <w:szCs w:val="21"/>
        </w:rPr>
        <w:t>的</w:t>
      </w:r>
      <w:r>
        <w:rPr>
          <w:rFonts w:hint="eastAsia" w:ascii="宋体" w:hAnsi="宋体" w:cs="宋体"/>
          <w:spacing w:val="6"/>
          <w:kern w:val="0"/>
          <w:szCs w:val="21"/>
          <w:u w:val="single"/>
        </w:rPr>
        <w:t>（</w:t>
      </w:r>
      <w:r>
        <w:rPr>
          <w:rFonts w:hint="eastAsia" w:ascii="宋体" w:hAnsi="宋体" w:cs="宋体"/>
          <w:i/>
          <w:iCs/>
          <w:spacing w:val="6"/>
          <w:kern w:val="0"/>
          <w:szCs w:val="21"/>
          <w:u w:val="single"/>
        </w:rPr>
        <w:t>项目名称</w:t>
      </w:r>
      <w:r>
        <w:rPr>
          <w:rFonts w:hint="eastAsia" w:ascii="宋体" w:hAnsi="宋体" w:cs="宋体"/>
          <w:spacing w:val="6"/>
          <w:kern w:val="0"/>
          <w:szCs w:val="21"/>
          <w:u w:val="single"/>
        </w:rPr>
        <w:t>）</w:t>
      </w:r>
      <w:r>
        <w:rPr>
          <w:rFonts w:hint="eastAsia" w:ascii="宋体" w:hAnsi="宋体" w:cs="宋体"/>
          <w:spacing w:val="6"/>
          <w:kern w:val="0"/>
          <w:szCs w:val="21"/>
        </w:rPr>
        <w:t>采购活动，服务全部由符合政策要求的中小企业承接。相关企业（含联合体中的中小企业、签订分包意向协议的中小企业）的具体情况如下：</w:t>
      </w:r>
    </w:p>
    <w:p>
      <w:pPr>
        <w:pageBreakBefore w:val="0"/>
        <w:widowControl/>
        <w:numPr>
          <w:ilvl w:val="0"/>
          <w:numId w:val="11"/>
        </w:numPr>
        <w:kinsoku/>
        <w:wordWrap/>
        <w:overflowPunct/>
        <w:bidi w:val="0"/>
        <w:adjustRightInd w:val="0"/>
        <w:snapToGrid w:val="0"/>
        <w:spacing w:line="440" w:lineRule="exact"/>
        <w:ind w:firstLine="444" w:firstLineChars="200"/>
        <w:jc w:val="left"/>
        <w:rPr>
          <w:rFonts w:ascii="宋体" w:hAnsi="宋体" w:cs="宋体"/>
          <w:spacing w:val="6"/>
          <w:kern w:val="0"/>
          <w:szCs w:val="21"/>
        </w:rPr>
      </w:pPr>
      <w:r>
        <w:rPr>
          <w:rFonts w:hint="eastAsia" w:ascii="宋体" w:hAnsi="宋体" w:cs="宋体"/>
          <w:spacing w:val="6"/>
          <w:kern w:val="0"/>
          <w:szCs w:val="21"/>
        </w:rPr>
        <w:t>（</w:t>
      </w:r>
      <w:r>
        <w:rPr>
          <w:rFonts w:hint="eastAsia" w:ascii="宋体" w:hAnsi="宋体" w:cs="宋体"/>
          <w:i/>
          <w:iCs/>
          <w:spacing w:val="6"/>
          <w:kern w:val="0"/>
          <w:szCs w:val="21"/>
          <w:u w:val="single"/>
        </w:rPr>
        <w:t>标的名称</w:t>
      </w:r>
      <w:r>
        <w:rPr>
          <w:rFonts w:hint="eastAsia" w:ascii="宋体" w:hAnsi="宋体" w:cs="宋体"/>
          <w:spacing w:val="6"/>
          <w:kern w:val="0"/>
          <w:szCs w:val="21"/>
        </w:rPr>
        <w:t>），属于（</w:t>
      </w:r>
      <w:r>
        <w:rPr>
          <w:rFonts w:hint="eastAsia" w:ascii="宋体" w:hAnsi="宋体" w:cs="宋体"/>
          <w:i/>
          <w:iCs/>
          <w:spacing w:val="6"/>
          <w:kern w:val="0"/>
          <w:szCs w:val="21"/>
          <w:u w:val="single"/>
        </w:rPr>
        <w:t>采购文件中明确的所属行业</w:t>
      </w:r>
      <w:r>
        <w:rPr>
          <w:rFonts w:hint="eastAsia" w:ascii="宋体" w:hAnsi="宋体" w:cs="宋体"/>
          <w:spacing w:val="6"/>
          <w:kern w:val="0"/>
          <w:szCs w:val="21"/>
        </w:rPr>
        <w:t>），承接企业为（</w:t>
      </w:r>
      <w:r>
        <w:rPr>
          <w:rFonts w:hint="eastAsia" w:ascii="宋体" w:hAnsi="宋体" w:cs="宋体"/>
          <w:i/>
          <w:iCs/>
          <w:spacing w:val="6"/>
          <w:kern w:val="0"/>
          <w:szCs w:val="21"/>
          <w:u w:val="single"/>
        </w:rPr>
        <w:t>企业名称</w:t>
      </w:r>
      <w:r>
        <w:rPr>
          <w:rFonts w:hint="eastAsia" w:ascii="宋体" w:hAnsi="宋体" w:cs="宋体"/>
          <w:spacing w:val="6"/>
          <w:kern w:val="0"/>
          <w:szCs w:val="21"/>
        </w:rPr>
        <w:t>），从业人员</w:t>
      </w:r>
      <w:r>
        <w:rPr>
          <w:rFonts w:hint="eastAsia" w:ascii="宋体" w:hAnsi="宋体" w:cs="宋体"/>
          <w:spacing w:val="6"/>
          <w:kern w:val="0"/>
          <w:szCs w:val="21"/>
          <w:u w:val="single"/>
          <w:lang w:val="en-US" w:eastAsia="zh-CN"/>
        </w:rPr>
        <w:t xml:space="preserve">    </w:t>
      </w:r>
      <w:r>
        <w:rPr>
          <w:rFonts w:hint="eastAsia" w:ascii="宋体" w:hAnsi="宋体" w:cs="宋体"/>
          <w:spacing w:val="6"/>
          <w:kern w:val="0"/>
          <w:szCs w:val="21"/>
        </w:rPr>
        <w:t>人，营业收入为</w:t>
      </w:r>
      <w:r>
        <w:rPr>
          <w:rFonts w:hint="eastAsia" w:ascii="宋体" w:hAnsi="宋体" w:cs="宋体"/>
          <w:spacing w:val="6"/>
          <w:kern w:val="0"/>
          <w:szCs w:val="21"/>
          <w:u w:val="single"/>
          <w:lang w:val="en-US" w:eastAsia="zh-CN"/>
        </w:rPr>
        <w:t xml:space="preserve">    </w:t>
      </w:r>
      <w:r>
        <w:rPr>
          <w:rFonts w:hint="eastAsia" w:ascii="宋体" w:hAnsi="宋体" w:cs="宋体"/>
          <w:spacing w:val="6"/>
          <w:kern w:val="0"/>
          <w:szCs w:val="21"/>
        </w:rPr>
        <w:t>万元，资产总额为</w:t>
      </w:r>
      <w:r>
        <w:rPr>
          <w:rFonts w:hint="eastAsia" w:ascii="宋体" w:hAnsi="宋体" w:cs="宋体"/>
          <w:spacing w:val="6"/>
          <w:kern w:val="0"/>
          <w:szCs w:val="21"/>
          <w:u w:val="single"/>
          <w:lang w:val="en-US" w:eastAsia="zh-CN"/>
        </w:rPr>
        <w:t xml:space="preserve">     </w:t>
      </w:r>
      <w:r>
        <w:rPr>
          <w:rFonts w:hint="eastAsia" w:ascii="宋体" w:hAnsi="宋体" w:cs="宋体"/>
          <w:spacing w:val="6"/>
          <w:kern w:val="0"/>
          <w:szCs w:val="21"/>
        </w:rPr>
        <w:t>万元，属于（</w:t>
      </w:r>
      <w:r>
        <w:rPr>
          <w:rFonts w:hint="eastAsia" w:ascii="宋体" w:hAnsi="宋体" w:cs="宋体"/>
          <w:i/>
          <w:iCs/>
          <w:spacing w:val="6"/>
          <w:kern w:val="0"/>
          <w:szCs w:val="21"/>
          <w:u w:val="single"/>
        </w:rPr>
        <w:t>中型企业、小型企业、微型企业</w:t>
      </w:r>
      <w:r>
        <w:rPr>
          <w:rFonts w:hint="eastAsia" w:ascii="宋体" w:hAnsi="宋体" w:cs="宋体"/>
          <w:spacing w:val="6"/>
          <w:kern w:val="0"/>
          <w:szCs w:val="21"/>
        </w:rPr>
        <w:t>）；</w:t>
      </w:r>
    </w:p>
    <w:p>
      <w:pPr>
        <w:pStyle w:val="13"/>
        <w:pageBreakBefore w:val="0"/>
        <w:numPr>
          <w:ilvl w:val="0"/>
          <w:numId w:val="11"/>
        </w:numPr>
        <w:kinsoku/>
        <w:wordWrap/>
        <w:overflowPunct/>
        <w:bidi w:val="0"/>
        <w:spacing w:line="440" w:lineRule="exact"/>
        <w:ind w:firstLine="444" w:firstLineChars="200"/>
        <w:rPr>
          <w:rFonts w:ascii="宋体" w:hAnsi="宋体" w:eastAsia="宋体" w:cs="宋体"/>
          <w:spacing w:val="6"/>
          <w:sz w:val="21"/>
          <w:szCs w:val="21"/>
        </w:rPr>
      </w:pPr>
      <w:r>
        <w:rPr>
          <w:rFonts w:hint="eastAsia" w:ascii="宋体" w:hAnsi="宋体" w:eastAsia="宋体" w:cs="宋体"/>
          <w:spacing w:val="6"/>
          <w:sz w:val="21"/>
          <w:szCs w:val="21"/>
        </w:rPr>
        <w:t>（</w:t>
      </w:r>
      <w:r>
        <w:rPr>
          <w:rFonts w:hint="eastAsia" w:ascii="宋体" w:hAnsi="宋体" w:eastAsia="宋体" w:cs="宋体"/>
          <w:i/>
          <w:iCs/>
          <w:spacing w:val="6"/>
          <w:sz w:val="21"/>
          <w:szCs w:val="21"/>
          <w:u w:val="single"/>
        </w:rPr>
        <w:t>标的名称</w:t>
      </w:r>
      <w:r>
        <w:rPr>
          <w:rFonts w:hint="eastAsia" w:ascii="宋体" w:hAnsi="宋体" w:eastAsia="宋体" w:cs="宋体"/>
          <w:spacing w:val="6"/>
          <w:sz w:val="21"/>
          <w:szCs w:val="21"/>
        </w:rPr>
        <w:t>），属于（</w:t>
      </w:r>
      <w:r>
        <w:rPr>
          <w:rFonts w:hint="eastAsia" w:ascii="宋体" w:hAnsi="宋体" w:eastAsia="宋体" w:cs="宋体"/>
          <w:i/>
          <w:iCs/>
          <w:spacing w:val="6"/>
          <w:sz w:val="21"/>
          <w:szCs w:val="21"/>
          <w:u w:val="single"/>
        </w:rPr>
        <w:t>采购文件中明确的所属行业</w:t>
      </w:r>
      <w:r>
        <w:rPr>
          <w:rFonts w:hint="eastAsia" w:ascii="宋体" w:hAnsi="宋体" w:eastAsia="宋体" w:cs="宋体"/>
          <w:spacing w:val="6"/>
          <w:sz w:val="21"/>
          <w:szCs w:val="21"/>
        </w:rPr>
        <w:t>），承接企业为（</w:t>
      </w:r>
      <w:r>
        <w:rPr>
          <w:rFonts w:hint="eastAsia" w:ascii="宋体" w:hAnsi="宋体" w:eastAsia="宋体" w:cs="宋体"/>
          <w:i/>
          <w:iCs/>
          <w:spacing w:val="6"/>
          <w:sz w:val="21"/>
          <w:szCs w:val="21"/>
          <w:u w:val="single"/>
        </w:rPr>
        <w:t>企业名称</w:t>
      </w:r>
      <w:r>
        <w:rPr>
          <w:rFonts w:hint="eastAsia" w:ascii="宋体" w:hAnsi="宋体" w:eastAsia="宋体" w:cs="宋体"/>
          <w:spacing w:val="6"/>
          <w:sz w:val="21"/>
          <w:szCs w:val="21"/>
        </w:rPr>
        <w:t>），从业人员</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rPr>
        <w:t>人，营业收入为</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rPr>
        <w:t>万元，资产总额为</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rPr>
        <w:t>万元，属于（</w:t>
      </w:r>
      <w:r>
        <w:rPr>
          <w:rFonts w:hint="eastAsia" w:ascii="宋体" w:hAnsi="宋体" w:eastAsia="宋体" w:cs="宋体"/>
          <w:i/>
          <w:iCs/>
          <w:spacing w:val="6"/>
          <w:sz w:val="21"/>
          <w:szCs w:val="21"/>
          <w:u w:val="single"/>
        </w:rPr>
        <w:t>中型企业、小型企业、微型企业</w:t>
      </w:r>
      <w:r>
        <w:rPr>
          <w:rFonts w:hint="eastAsia" w:ascii="宋体" w:hAnsi="宋体" w:eastAsia="宋体" w:cs="宋体"/>
          <w:spacing w:val="6"/>
          <w:sz w:val="21"/>
          <w:szCs w:val="21"/>
        </w:rPr>
        <w:t>）；</w:t>
      </w:r>
    </w:p>
    <w:p>
      <w:pPr>
        <w:pStyle w:val="13"/>
        <w:pageBreakBefore w:val="0"/>
        <w:kinsoku/>
        <w:wordWrap/>
        <w:overflowPunct/>
        <w:bidi w:val="0"/>
        <w:spacing w:line="440" w:lineRule="exact"/>
        <w:rPr>
          <w:rFonts w:ascii="宋体" w:hAnsi="宋体" w:eastAsia="宋体" w:cs="宋体"/>
          <w:sz w:val="21"/>
          <w:szCs w:val="21"/>
        </w:rPr>
      </w:pPr>
      <w:r>
        <w:rPr>
          <w:rFonts w:hint="eastAsia" w:ascii="宋体" w:hAnsi="宋体" w:eastAsia="宋体" w:cs="宋体"/>
          <w:sz w:val="21"/>
          <w:szCs w:val="21"/>
        </w:rPr>
        <w:t>... ...</w:t>
      </w:r>
    </w:p>
    <w:p>
      <w:pPr>
        <w:pageBreakBefore w:val="0"/>
        <w:widowControl/>
        <w:kinsoku/>
        <w:wordWrap/>
        <w:overflowPunct/>
        <w:bidi w:val="0"/>
        <w:adjustRightInd w:val="0"/>
        <w:snapToGrid w:val="0"/>
        <w:spacing w:line="440" w:lineRule="exact"/>
        <w:ind w:firstLine="444" w:firstLineChars="200"/>
        <w:jc w:val="left"/>
        <w:rPr>
          <w:rFonts w:ascii="宋体" w:hAnsi="宋体" w:cs="宋体"/>
          <w:spacing w:val="6"/>
          <w:kern w:val="0"/>
          <w:szCs w:val="21"/>
        </w:rPr>
      </w:pPr>
      <w:r>
        <w:rPr>
          <w:rFonts w:hint="eastAsia" w:ascii="宋体" w:hAnsi="宋体" w:cs="宋体"/>
          <w:spacing w:val="6"/>
          <w:kern w:val="0"/>
          <w:szCs w:val="21"/>
        </w:rPr>
        <w:t>以上企业，不属于大企业的分支机构，不存在控股股东为大企业的情形，也不存在与大企业的负责人为同一人的情形。</w:t>
      </w:r>
    </w:p>
    <w:p>
      <w:pPr>
        <w:pStyle w:val="13"/>
        <w:pageBreakBefore w:val="0"/>
        <w:kinsoku/>
        <w:wordWrap/>
        <w:overflowPunct/>
        <w:bidi w:val="0"/>
        <w:spacing w:line="440" w:lineRule="exact"/>
        <w:rPr>
          <w:rFonts w:ascii="宋体" w:hAnsi="宋体" w:eastAsia="宋体" w:cs="宋体"/>
          <w:sz w:val="21"/>
          <w:szCs w:val="21"/>
        </w:rPr>
      </w:pPr>
      <w:r>
        <w:rPr>
          <w:rFonts w:hint="eastAsia" w:ascii="宋体" w:hAnsi="宋体" w:eastAsia="宋体" w:cs="宋体"/>
          <w:spacing w:val="6"/>
          <w:sz w:val="21"/>
          <w:szCs w:val="21"/>
        </w:rPr>
        <w:t>本企业对上述声明内容的真实性负责。如有虚假，将依法承担相应责任。</w:t>
      </w:r>
    </w:p>
    <w:p>
      <w:pPr>
        <w:pageBreakBefore w:val="0"/>
        <w:widowControl/>
        <w:kinsoku/>
        <w:wordWrap/>
        <w:overflowPunct/>
        <w:bidi w:val="0"/>
        <w:adjustRightInd w:val="0"/>
        <w:snapToGrid w:val="0"/>
        <w:spacing w:line="440" w:lineRule="exact"/>
        <w:ind w:firstLine="444" w:firstLineChars="200"/>
        <w:jc w:val="center"/>
        <w:rPr>
          <w:rFonts w:ascii="宋体" w:hAnsi="宋体" w:cs="宋体"/>
          <w:spacing w:val="6"/>
          <w:kern w:val="0"/>
          <w:szCs w:val="21"/>
        </w:rPr>
      </w:pPr>
    </w:p>
    <w:p>
      <w:pPr>
        <w:pageBreakBefore w:val="0"/>
        <w:widowControl/>
        <w:kinsoku/>
        <w:wordWrap/>
        <w:overflowPunct/>
        <w:bidi w:val="0"/>
        <w:adjustRightInd w:val="0"/>
        <w:snapToGrid w:val="0"/>
        <w:spacing w:line="440" w:lineRule="exact"/>
        <w:ind w:firstLine="444" w:firstLineChars="200"/>
        <w:jc w:val="center"/>
        <w:rPr>
          <w:rFonts w:ascii="宋体" w:hAnsi="宋体" w:cs="宋体"/>
          <w:spacing w:val="6"/>
          <w:kern w:val="0"/>
          <w:szCs w:val="21"/>
        </w:rPr>
      </w:pPr>
    </w:p>
    <w:p>
      <w:pPr>
        <w:pageBreakBefore w:val="0"/>
        <w:widowControl/>
        <w:kinsoku/>
        <w:wordWrap/>
        <w:overflowPunct/>
        <w:bidi w:val="0"/>
        <w:adjustRightInd w:val="0"/>
        <w:snapToGrid w:val="0"/>
        <w:spacing w:line="440" w:lineRule="exact"/>
        <w:ind w:firstLine="444" w:firstLineChars="200"/>
        <w:jc w:val="center"/>
        <w:rPr>
          <w:rFonts w:ascii="宋体" w:hAnsi="宋体" w:cs="宋体"/>
          <w:spacing w:val="6"/>
          <w:kern w:val="0"/>
          <w:szCs w:val="21"/>
        </w:rPr>
      </w:pPr>
      <w:r>
        <w:rPr>
          <w:rFonts w:hint="eastAsia" w:ascii="宋体" w:hAnsi="宋体" w:cs="宋体"/>
          <w:spacing w:val="6"/>
          <w:kern w:val="0"/>
          <w:szCs w:val="21"/>
        </w:rPr>
        <w:t xml:space="preserve">             企业名称（盖单位章）： </w:t>
      </w:r>
    </w:p>
    <w:p>
      <w:pPr>
        <w:pageBreakBefore w:val="0"/>
        <w:widowControl/>
        <w:kinsoku/>
        <w:wordWrap/>
        <w:overflowPunct/>
        <w:bidi w:val="0"/>
        <w:adjustRightInd w:val="0"/>
        <w:snapToGrid w:val="0"/>
        <w:spacing w:line="440" w:lineRule="exact"/>
        <w:ind w:firstLine="444" w:firstLineChars="200"/>
        <w:jc w:val="center"/>
        <w:rPr>
          <w:rFonts w:ascii="宋体" w:hAnsi="宋体" w:cs="宋体"/>
          <w:szCs w:val="21"/>
        </w:rPr>
      </w:pPr>
      <w:r>
        <w:rPr>
          <w:rFonts w:hint="eastAsia" w:ascii="宋体" w:hAnsi="宋体" w:cs="宋体"/>
          <w:spacing w:val="6"/>
          <w:kern w:val="0"/>
          <w:szCs w:val="21"/>
        </w:rPr>
        <w:t xml:space="preserve">                     日    期：</w:t>
      </w:r>
      <w:r>
        <w:rPr>
          <w:rFonts w:hint="eastAsia" w:ascii="宋体" w:hAnsi="宋体" w:cs="宋体"/>
          <w:spacing w:val="6"/>
          <w:kern w:val="0"/>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ageBreakBefore w:val="0"/>
        <w:kinsoku/>
        <w:wordWrap/>
        <w:overflowPunct/>
        <w:bidi w:val="0"/>
        <w:adjustRightInd w:val="0"/>
        <w:snapToGrid w:val="0"/>
        <w:spacing w:line="440" w:lineRule="exact"/>
        <w:ind w:right="420"/>
        <w:outlineLvl w:val="2"/>
        <w:rPr>
          <w:rFonts w:ascii="宋体" w:hAnsi="宋体" w:cs="宋体"/>
        </w:rPr>
      </w:pPr>
    </w:p>
    <w:p>
      <w:pPr>
        <w:pageBreakBefore w:val="0"/>
        <w:kinsoku/>
        <w:wordWrap/>
        <w:overflowPunct/>
        <w:bidi w:val="0"/>
        <w:adjustRightInd w:val="0"/>
        <w:snapToGrid w:val="0"/>
        <w:spacing w:line="440" w:lineRule="exact"/>
        <w:ind w:right="420"/>
        <w:outlineLvl w:val="2"/>
        <w:rPr>
          <w:rFonts w:ascii="宋体" w:hAnsi="宋体" w:cs="宋体"/>
        </w:rPr>
      </w:pPr>
    </w:p>
    <w:p>
      <w:pPr>
        <w:pageBreakBefore w:val="0"/>
        <w:kinsoku/>
        <w:wordWrap/>
        <w:overflowPunct/>
        <w:bidi w:val="0"/>
        <w:adjustRightInd w:val="0"/>
        <w:snapToGrid w:val="0"/>
        <w:spacing w:line="440" w:lineRule="exact"/>
        <w:rPr>
          <w:rFonts w:ascii="宋体" w:hAnsi="宋体" w:cs="宋体"/>
          <w:b/>
          <w:bCs/>
          <w:spacing w:val="6"/>
          <w:szCs w:val="21"/>
        </w:rPr>
      </w:pPr>
      <w:r>
        <w:rPr>
          <w:rFonts w:hint="eastAsia" w:ascii="宋体" w:hAnsi="宋体" w:cs="宋体"/>
          <w:b/>
          <w:bCs/>
          <w:spacing w:val="6"/>
          <w:szCs w:val="21"/>
        </w:rPr>
        <w:t>注：1、从业人员、营业收入、资产总额填报上一年度数据，无上一年度数据的新成立企业可不填报。</w:t>
      </w:r>
    </w:p>
    <w:p>
      <w:pPr>
        <w:pageBreakBefore w:val="0"/>
        <w:kinsoku/>
        <w:wordWrap/>
        <w:overflowPunct/>
        <w:bidi w:val="0"/>
        <w:adjustRightInd w:val="0"/>
        <w:snapToGrid w:val="0"/>
        <w:spacing w:line="440" w:lineRule="exact"/>
        <w:ind w:firstLine="445" w:firstLineChars="200"/>
        <w:rPr>
          <w:rFonts w:ascii="宋体" w:hAnsi="宋体" w:cs="宋体"/>
          <w:b/>
          <w:bCs/>
          <w:spacing w:val="6"/>
          <w:szCs w:val="21"/>
        </w:rPr>
      </w:pPr>
      <w:r>
        <w:rPr>
          <w:rFonts w:hint="eastAsia" w:ascii="宋体" w:hAnsi="宋体" w:cs="宋体"/>
          <w:b/>
          <w:bCs/>
          <w:spacing w:val="6"/>
          <w:szCs w:val="21"/>
        </w:rPr>
        <w:t>2、符合《政府采购促进中小企业发展管理办法》（财库〔2020〕46号）相关规定的，应提交《附件：中小企业声明函》。</w:t>
      </w:r>
    </w:p>
    <w:p>
      <w:pPr>
        <w:pageBreakBefore w:val="0"/>
        <w:kinsoku/>
        <w:wordWrap/>
        <w:overflowPunct/>
        <w:bidi w:val="0"/>
        <w:adjustRightInd w:val="0"/>
        <w:snapToGrid w:val="0"/>
        <w:spacing w:line="440" w:lineRule="exact"/>
        <w:ind w:right="420"/>
        <w:outlineLvl w:val="2"/>
        <w:rPr>
          <w:rFonts w:ascii="微软雅黑" w:hAnsi="微软雅黑" w:eastAsia="微软雅黑"/>
        </w:rPr>
      </w:pPr>
    </w:p>
    <w:p>
      <w:pPr>
        <w:pStyle w:val="14"/>
        <w:pageBreakBefore w:val="0"/>
        <w:kinsoku/>
        <w:wordWrap/>
        <w:overflowPunct/>
        <w:bidi w:val="0"/>
        <w:spacing w:line="440" w:lineRule="exact"/>
        <w:rPr>
          <w:rFonts w:ascii="微软雅黑" w:hAnsi="微软雅黑" w:eastAsia="微软雅黑"/>
        </w:rPr>
      </w:pPr>
    </w:p>
    <w:p>
      <w:pPr>
        <w:pStyle w:val="29"/>
        <w:pageBreakBefore w:val="0"/>
        <w:kinsoku/>
        <w:wordWrap/>
        <w:overflowPunct/>
        <w:bidi w:val="0"/>
        <w:spacing w:line="440" w:lineRule="exact"/>
        <w:rPr>
          <w:rFonts w:ascii="微软雅黑" w:hAnsi="微软雅黑" w:eastAsia="微软雅黑"/>
        </w:rPr>
      </w:pPr>
    </w:p>
    <w:p>
      <w:pPr>
        <w:pStyle w:val="2"/>
        <w:pageBreakBefore w:val="0"/>
        <w:kinsoku/>
        <w:wordWrap/>
        <w:overflowPunct/>
        <w:bidi w:val="0"/>
        <w:spacing w:line="440" w:lineRule="exact"/>
        <w:ind w:left="0" w:leftChars="0" w:firstLine="0" w:firstLineChars="0"/>
      </w:pPr>
    </w:p>
    <w:p>
      <w:pPr>
        <w:pStyle w:val="12"/>
      </w:pPr>
    </w:p>
    <w:p>
      <w:pPr>
        <w:pStyle w:val="13"/>
      </w:pPr>
    </w:p>
    <w:p>
      <w:pPr>
        <w:pageBreakBefore w:val="0"/>
        <w:kinsoku/>
        <w:wordWrap/>
        <w:overflowPunct/>
        <w:bidi w:val="0"/>
        <w:adjustRightInd w:val="0"/>
        <w:snapToGrid w:val="0"/>
        <w:spacing w:line="440" w:lineRule="exact"/>
        <w:ind w:right="420"/>
        <w:outlineLvl w:val="2"/>
        <w:rPr>
          <w:rFonts w:ascii="微软雅黑" w:hAnsi="微软雅黑" w:eastAsia="微软雅黑"/>
        </w:rPr>
      </w:pPr>
      <w:r>
        <w:rPr>
          <w:rFonts w:hint="eastAsia" w:ascii="微软雅黑" w:hAnsi="微软雅黑" w:eastAsia="微软雅黑"/>
        </w:rPr>
        <w:t xml:space="preserve">附件7-2   </w:t>
      </w:r>
      <w:bookmarkEnd w:id="40"/>
    </w:p>
    <w:p>
      <w:pPr>
        <w:pageBreakBefore w:val="0"/>
        <w:kinsoku/>
        <w:wordWrap/>
        <w:overflowPunct/>
        <w:bidi w:val="0"/>
        <w:adjustRightInd w:val="0"/>
        <w:snapToGrid w:val="0"/>
        <w:spacing w:before="120" w:beforeLines="50" w:after="120" w:afterLines="50" w:line="440" w:lineRule="exact"/>
        <w:jc w:val="center"/>
        <w:rPr>
          <w:rFonts w:ascii="黑体" w:hAnsi="宋体" w:eastAsia="黑体"/>
          <w:b/>
          <w:bCs/>
          <w:sz w:val="32"/>
        </w:rPr>
      </w:pPr>
    </w:p>
    <w:p>
      <w:pPr>
        <w:pageBreakBefore w:val="0"/>
        <w:kinsoku/>
        <w:wordWrap/>
        <w:overflowPunct/>
        <w:bidi w:val="0"/>
        <w:adjustRightInd w:val="0"/>
        <w:snapToGrid w:val="0"/>
        <w:spacing w:before="120" w:beforeLines="50" w:after="240" w:afterLines="100" w:line="440" w:lineRule="exact"/>
        <w:jc w:val="center"/>
        <w:rPr>
          <w:rFonts w:ascii="黑体" w:hAnsi="宋体" w:eastAsia="黑体"/>
          <w:b/>
          <w:bCs/>
          <w:sz w:val="32"/>
        </w:rPr>
      </w:pPr>
      <w:r>
        <w:rPr>
          <w:rFonts w:hint="eastAsia" w:ascii="黑体" w:hAnsi="宋体" w:eastAsia="黑体"/>
          <w:b/>
          <w:bCs/>
          <w:sz w:val="32"/>
        </w:rPr>
        <w:t>监狱企业、残疾人福利性单位证明材料</w:t>
      </w:r>
    </w:p>
    <w:p>
      <w:pPr>
        <w:pStyle w:val="79"/>
        <w:pageBreakBefore w:val="0"/>
        <w:kinsoku/>
        <w:wordWrap/>
        <w:overflowPunct/>
        <w:bidi w:val="0"/>
        <w:spacing w:line="440" w:lineRule="exact"/>
        <w:rPr>
          <w:rFonts w:eastAsia="黑体"/>
          <w:b w:val="0"/>
          <w:bCs w:val="0"/>
          <w:sz w:val="21"/>
          <w:szCs w:val="21"/>
        </w:rPr>
      </w:pPr>
      <w:r>
        <w:rPr>
          <w:rFonts w:hint="eastAsia" w:ascii="黑体" w:hAnsi="宋体" w:eastAsia="黑体"/>
          <w:b w:val="0"/>
          <w:bCs w:val="0"/>
          <w:sz w:val="21"/>
          <w:szCs w:val="21"/>
        </w:rPr>
        <w:t>（不属于监狱企业、残疾人福利性单位的无需提供）</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kern w:val="0"/>
        </w:rPr>
      </w:pPr>
      <w:r>
        <w:rPr>
          <w:rFonts w:hint="eastAsia" w:ascii="宋体" w:hAnsi="宋体"/>
          <w:kern w:val="0"/>
        </w:rPr>
        <w:t>1、监狱企业：按《财政部 司法部关于政府采购支持监狱企业发展有关问题的通知》(财库〔2014〕68号)文件规定提供证明文件（复印件）。</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kern w:val="0"/>
        </w:rPr>
      </w:pPr>
      <w:r>
        <w:rPr>
          <w:rFonts w:hint="eastAsia" w:ascii="宋体" w:hAnsi="宋体"/>
          <w:kern w:val="0"/>
        </w:rPr>
        <w:t>2、残疾人福利性单位：按《三部门联合发布关于促进残疾人就业政府采购政策的通知》(财库〔2017〕141号)文件规定提供《残疾人福利性单位声明函》。</w:t>
      </w:r>
    </w:p>
    <w:p>
      <w:pPr>
        <w:pageBreakBefore w:val="0"/>
        <w:kinsoku/>
        <w:wordWrap/>
        <w:overflowPunct/>
        <w:bidi w:val="0"/>
        <w:adjustRightInd w:val="0"/>
        <w:snapToGrid w:val="0"/>
        <w:spacing w:before="120" w:beforeLines="50" w:after="120" w:afterLines="50" w:line="440" w:lineRule="exact"/>
        <w:jc w:val="center"/>
        <w:rPr>
          <w:rFonts w:ascii="黑体" w:hAnsi="宋体" w:eastAsia="黑体"/>
          <w:b/>
          <w:bCs/>
          <w:sz w:val="32"/>
        </w:rPr>
      </w:pPr>
    </w:p>
    <w:p>
      <w:pPr>
        <w:pageBreakBefore w:val="0"/>
        <w:kinsoku/>
        <w:wordWrap/>
        <w:overflowPunct/>
        <w:bidi w:val="0"/>
        <w:adjustRightInd w:val="0"/>
        <w:snapToGrid w:val="0"/>
        <w:spacing w:before="120" w:beforeLines="50" w:after="120" w:afterLines="50" w:line="440" w:lineRule="exact"/>
        <w:jc w:val="center"/>
        <w:rPr>
          <w:rFonts w:ascii="黑体" w:hAnsi="宋体" w:eastAsia="黑体"/>
          <w:b/>
          <w:bCs/>
          <w:sz w:val="32"/>
        </w:rPr>
      </w:pPr>
    </w:p>
    <w:p>
      <w:pPr>
        <w:pageBreakBefore w:val="0"/>
        <w:kinsoku/>
        <w:wordWrap/>
        <w:overflowPunct/>
        <w:bidi w:val="0"/>
        <w:adjustRightInd w:val="0"/>
        <w:snapToGrid w:val="0"/>
        <w:spacing w:before="120" w:beforeLines="50" w:after="120" w:afterLines="50" w:line="440" w:lineRule="exact"/>
        <w:jc w:val="center"/>
        <w:rPr>
          <w:rFonts w:ascii="黑体" w:hAnsi="宋体" w:eastAsia="黑体"/>
          <w:b/>
          <w:bCs/>
          <w:sz w:val="32"/>
        </w:rPr>
      </w:pPr>
    </w:p>
    <w:p>
      <w:pPr>
        <w:pageBreakBefore w:val="0"/>
        <w:kinsoku/>
        <w:wordWrap/>
        <w:overflowPunct/>
        <w:bidi w:val="0"/>
        <w:adjustRightInd w:val="0"/>
        <w:snapToGrid w:val="0"/>
        <w:spacing w:before="120" w:beforeLines="50" w:after="120" w:afterLines="50" w:line="440" w:lineRule="exact"/>
        <w:jc w:val="center"/>
        <w:rPr>
          <w:rFonts w:ascii="黑体" w:hAnsi="宋体" w:eastAsia="黑体"/>
          <w:b/>
          <w:bCs/>
          <w:sz w:val="32"/>
        </w:rPr>
      </w:pPr>
      <w:r>
        <w:rPr>
          <w:rFonts w:hint="eastAsia" w:ascii="黑体" w:hAnsi="宋体" w:eastAsia="黑体"/>
          <w:b/>
          <w:bCs/>
          <w:sz w:val="32"/>
        </w:rPr>
        <w:t>残疾人福利性单位声明函</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kern w:val="0"/>
        </w:rPr>
      </w:pPr>
      <w:r>
        <w:rPr>
          <w:rFonts w:hint="eastAsia" w:ascii="宋体" w:hAnsi="宋体"/>
          <w:kern w:val="0"/>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kern w:val="0"/>
        </w:rPr>
      </w:pPr>
      <w:r>
        <w:rPr>
          <w:rFonts w:hint="eastAsia" w:ascii="宋体" w:hAnsi="宋体"/>
          <w:kern w:val="0"/>
        </w:rPr>
        <w:t>本单位对上述声明的真实性负责。如有虚假，将依法承担相应责任。</w:t>
      </w:r>
    </w:p>
    <w:p>
      <w:pPr>
        <w:pageBreakBefore w:val="0"/>
        <w:kinsoku/>
        <w:wordWrap/>
        <w:overflowPunct/>
        <w:bidi w:val="0"/>
        <w:spacing w:line="440" w:lineRule="exact"/>
        <w:ind w:firstLine="504" w:firstLineChars="200"/>
        <w:rPr>
          <w:rFonts w:ascii="宋体" w:hAnsi="宋体"/>
          <w:spacing w:val="6"/>
          <w:sz w:val="24"/>
        </w:rPr>
      </w:pPr>
    </w:p>
    <w:p>
      <w:pPr>
        <w:pageBreakBefore w:val="0"/>
        <w:kinsoku/>
        <w:wordWrap/>
        <w:overflowPunct/>
        <w:bidi w:val="0"/>
        <w:spacing w:line="440" w:lineRule="exact"/>
        <w:ind w:firstLine="504" w:firstLineChars="200"/>
        <w:rPr>
          <w:rFonts w:ascii="宋体" w:hAnsi="宋体"/>
          <w:spacing w:val="6"/>
          <w:sz w:val="24"/>
        </w:rPr>
      </w:pPr>
    </w:p>
    <w:p>
      <w:pPr>
        <w:pageBreakBefore w:val="0"/>
        <w:kinsoku/>
        <w:wordWrap/>
        <w:overflowPunct/>
        <w:bidi w:val="0"/>
        <w:spacing w:line="440" w:lineRule="exact"/>
        <w:ind w:right="1560"/>
        <w:rPr>
          <w:rFonts w:ascii="宋体" w:hAnsi="宋体"/>
          <w:spacing w:val="6"/>
          <w:szCs w:val="21"/>
        </w:rPr>
      </w:pPr>
      <w:r>
        <w:rPr>
          <w:rFonts w:hint="eastAsia" w:ascii="宋体" w:hAnsi="宋体"/>
          <w:spacing w:val="6"/>
          <w:szCs w:val="21"/>
        </w:rPr>
        <w:t>供应商（盖单位章）：</w:t>
      </w:r>
    </w:p>
    <w:p>
      <w:pPr>
        <w:pageBreakBefore w:val="0"/>
        <w:kinsoku/>
        <w:wordWrap/>
        <w:overflowPunct/>
        <w:bidi w:val="0"/>
        <w:spacing w:line="440" w:lineRule="exact"/>
        <w:rPr>
          <w:szCs w:val="21"/>
        </w:rPr>
      </w:pPr>
      <w:r>
        <w:rPr>
          <w:rFonts w:hint="eastAsia" w:ascii="宋体" w:hAnsi="宋体"/>
          <w:spacing w:val="6"/>
          <w:szCs w:val="21"/>
        </w:rPr>
        <w:t>日  期：</w:t>
      </w:r>
      <w:r>
        <w:rPr>
          <w:rFonts w:hint="eastAsia" w:ascii="宋体" w:hAnsi="宋体"/>
          <w:spacing w:val="6"/>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ageBreakBefore w:val="0"/>
        <w:widowControl/>
        <w:kinsoku/>
        <w:wordWrap/>
        <w:overflowPunct/>
        <w:bidi w:val="0"/>
        <w:spacing w:line="440" w:lineRule="exact"/>
        <w:jc w:val="left"/>
      </w:pPr>
    </w:p>
    <w:p>
      <w:pPr>
        <w:pageBreakBefore w:val="0"/>
        <w:kinsoku/>
        <w:wordWrap/>
        <w:overflowPunct/>
        <w:bidi w:val="0"/>
        <w:adjustRightInd w:val="0"/>
        <w:snapToGrid w:val="0"/>
        <w:spacing w:before="50" w:line="440" w:lineRule="exact"/>
        <w:rPr>
          <w:rFonts w:ascii="宋体" w:hAnsi="宋体"/>
          <w:b/>
          <w:bCs/>
          <w:sz w:val="28"/>
          <w:szCs w:val="28"/>
        </w:rPr>
        <w:sectPr>
          <w:pgSz w:w="11906" w:h="16838"/>
          <w:pgMar w:top="1134" w:right="1134" w:bottom="1134" w:left="1134" w:header="510" w:footer="624" w:gutter="0"/>
          <w:cols w:space="720" w:num="1"/>
          <w:docGrid w:linePitch="312" w:charSpace="0"/>
        </w:sect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bookmarkStart w:id="41" w:name="_Toc472022219"/>
      <w:bookmarkStart w:id="42" w:name="_Toc11227"/>
      <w:r>
        <w:rPr>
          <w:rFonts w:hint="eastAsia" w:ascii="宋体" w:hAnsi="宋体" w:cs="宋体"/>
          <w:b/>
          <w:bCs/>
          <w:sz w:val="36"/>
          <w:szCs w:val="36"/>
        </w:rPr>
        <w:t>六、报价一览表及报价文件</w:t>
      </w:r>
      <w:bookmarkEnd w:id="41"/>
      <w:bookmarkEnd w:id="42"/>
    </w:p>
    <w:p>
      <w:pPr>
        <w:pageBreakBefore w:val="0"/>
        <w:kinsoku/>
        <w:wordWrap/>
        <w:overflowPunct/>
        <w:bidi w:val="0"/>
        <w:adjustRightInd w:val="0"/>
        <w:snapToGrid w:val="0"/>
        <w:spacing w:line="440" w:lineRule="exact"/>
        <w:ind w:right="420"/>
        <w:outlineLvl w:val="2"/>
        <w:rPr>
          <w:rFonts w:ascii="微软雅黑" w:hAnsi="微软雅黑" w:eastAsia="微软雅黑"/>
          <w:szCs w:val="21"/>
        </w:rPr>
      </w:pPr>
      <w:bookmarkStart w:id="43" w:name="_Toc21440"/>
      <w:r>
        <w:rPr>
          <w:rFonts w:hint="eastAsia" w:ascii="微软雅黑" w:hAnsi="微软雅黑" w:eastAsia="微软雅黑"/>
          <w:szCs w:val="21"/>
        </w:rPr>
        <w:t xml:space="preserve">附件8-1  </w:t>
      </w:r>
      <w:bookmarkEnd w:id="43"/>
    </w:p>
    <w:p>
      <w:pPr>
        <w:pageBreakBefore w:val="0"/>
        <w:kinsoku/>
        <w:wordWrap/>
        <w:overflowPunct/>
        <w:bidi w:val="0"/>
        <w:spacing w:line="440" w:lineRule="exact"/>
        <w:jc w:val="center"/>
        <w:rPr>
          <w:rFonts w:ascii="黑体" w:hAnsi="黑体" w:eastAsia="黑体"/>
          <w:b/>
          <w:sz w:val="36"/>
          <w:szCs w:val="36"/>
        </w:rPr>
      </w:pPr>
      <w:r>
        <w:rPr>
          <w:rFonts w:hint="eastAsia" w:ascii="黑体" w:hAnsi="黑体" w:eastAsia="黑体"/>
          <w:b/>
          <w:sz w:val="36"/>
          <w:szCs w:val="36"/>
        </w:rPr>
        <w:t>报价一览表</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2393"/>
        <w:gridCol w:w="1560"/>
        <w:gridCol w:w="30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2187" w:type="dxa"/>
            <w:vMerge w:val="restart"/>
            <w:vAlign w:val="center"/>
          </w:tcPr>
          <w:p>
            <w:pPr>
              <w:pageBreakBefore w:val="0"/>
              <w:kinsoku/>
              <w:wordWrap/>
              <w:overflowPunct/>
              <w:bidi w:val="0"/>
              <w:spacing w:line="440" w:lineRule="exact"/>
              <w:jc w:val="center"/>
              <w:rPr>
                <w:rFonts w:ascii="宋体" w:hAnsi="宋体"/>
                <w:sz w:val="28"/>
                <w:szCs w:val="28"/>
              </w:rPr>
            </w:pPr>
            <w:r>
              <w:rPr>
                <w:rFonts w:hint="eastAsia" w:ascii="宋体" w:hAnsi="宋体"/>
              </w:rPr>
              <w:t>项目名称</w:t>
            </w:r>
          </w:p>
        </w:tc>
        <w:tc>
          <w:tcPr>
            <w:tcW w:w="2393" w:type="dxa"/>
            <w:vMerge w:val="restart"/>
            <w:vAlign w:val="center"/>
          </w:tcPr>
          <w:p>
            <w:pPr>
              <w:pageBreakBefore w:val="0"/>
              <w:kinsoku/>
              <w:wordWrap/>
              <w:overflowPunct/>
              <w:bidi w:val="0"/>
              <w:spacing w:line="440" w:lineRule="exact"/>
              <w:jc w:val="center"/>
              <w:rPr>
                <w:rFonts w:ascii="宋体" w:hAnsi="宋体"/>
                <w:sz w:val="28"/>
                <w:szCs w:val="28"/>
              </w:rPr>
            </w:pPr>
          </w:p>
        </w:tc>
        <w:tc>
          <w:tcPr>
            <w:tcW w:w="1560" w:type="dxa"/>
            <w:vAlign w:val="center"/>
          </w:tcPr>
          <w:p>
            <w:pPr>
              <w:pageBreakBefore w:val="0"/>
              <w:kinsoku/>
              <w:wordWrap/>
              <w:overflowPunct/>
              <w:bidi w:val="0"/>
              <w:spacing w:line="440" w:lineRule="exact"/>
              <w:rPr>
                <w:rFonts w:ascii="宋体" w:hAnsi="宋体"/>
                <w:szCs w:val="21"/>
              </w:rPr>
            </w:pPr>
            <w:r>
              <w:rPr>
                <w:rFonts w:hint="eastAsia" w:ascii="宋体" w:hAnsi="宋体"/>
              </w:rPr>
              <w:t>政府采购编号</w:t>
            </w:r>
          </w:p>
        </w:tc>
        <w:tc>
          <w:tcPr>
            <w:tcW w:w="3018" w:type="dxa"/>
            <w:vAlign w:val="center"/>
          </w:tcPr>
          <w:p>
            <w:pPr>
              <w:pageBreakBefore w:val="0"/>
              <w:kinsoku/>
              <w:wordWrap/>
              <w:overflowPunct/>
              <w:bidi w:val="0"/>
              <w:spacing w:line="44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2187" w:type="dxa"/>
            <w:vMerge w:val="continue"/>
          </w:tcPr>
          <w:p>
            <w:pPr>
              <w:pageBreakBefore w:val="0"/>
              <w:kinsoku/>
              <w:wordWrap/>
              <w:overflowPunct/>
              <w:bidi w:val="0"/>
              <w:spacing w:line="440" w:lineRule="exact"/>
              <w:jc w:val="center"/>
              <w:rPr>
                <w:rFonts w:ascii="宋体" w:hAnsi="宋体"/>
                <w:sz w:val="28"/>
                <w:szCs w:val="28"/>
              </w:rPr>
            </w:pPr>
          </w:p>
        </w:tc>
        <w:tc>
          <w:tcPr>
            <w:tcW w:w="2393" w:type="dxa"/>
            <w:vMerge w:val="continue"/>
            <w:vAlign w:val="center"/>
          </w:tcPr>
          <w:p>
            <w:pPr>
              <w:pageBreakBefore w:val="0"/>
              <w:kinsoku/>
              <w:wordWrap/>
              <w:overflowPunct/>
              <w:bidi w:val="0"/>
              <w:spacing w:line="440" w:lineRule="exact"/>
              <w:rPr>
                <w:rFonts w:ascii="宋体" w:hAnsi="宋体"/>
                <w:sz w:val="28"/>
                <w:szCs w:val="28"/>
              </w:rPr>
            </w:pPr>
          </w:p>
        </w:tc>
        <w:tc>
          <w:tcPr>
            <w:tcW w:w="1560" w:type="dxa"/>
            <w:vAlign w:val="center"/>
          </w:tcPr>
          <w:p>
            <w:pPr>
              <w:pageBreakBefore w:val="0"/>
              <w:kinsoku/>
              <w:wordWrap/>
              <w:overflowPunct/>
              <w:bidi w:val="0"/>
              <w:spacing w:line="440" w:lineRule="exact"/>
              <w:rPr>
                <w:rFonts w:ascii="宋体" w:hAnsi="宋体"/>
                <w:szCs w:val="21"/>
              </w:rPr>
            </w:pPr>
            <w:r>
              <w:rPr>
                <w:rFonts w:hint="eastAsia" w:ascii="宋体" w:hAnsi="宋体"/>
              </w:rPr>
              <w:t>委托代理编号</w:t>
            </w:r>
          </w:p>
          <w:p>
            <w:pPr>
              <w:pageBreakBefore w:val="0"/>
              <w:kinsoku/>
              <w:wordWrap/>
              <w:overflowPunct/>
              <w:bidi w:val="0"/>
              <w:spacing w:line="440" w:lineRule="exact"/>
            </w:pPr>
          </w:p>
        </w:tc>
        <w:tc>
          <w:tcPr>
            <w:tcW w:w="3018" w:type="dxa"/>
            <w:vAlign w:val="center"/>
          </w:tcPr>
          <w:p>
            <w:pPr>
              <w:pageBreakBefore w:val="0"/>
              <w:kinsoku/>
              <w:wordWrap/>
              <w:overflowPunct/>
              <w:bidi w:val="0"/>
              <w:spacing w:line="44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8" w:hRule="exact"/>
          <w:jc w:val="center"/>
        </w:trPr>
        <w:tc>
          <w:tcPr>
            <w:tcW w:w="2187" w:type="dxa"/>
            <w:vAlign w:val="center"/>
          </w:tcPr>
          <w:p>
            <w:pPr>
              <w:pageBreakBefore w:val="0"/>
              <w:kinsoku/>
              <w:wordWrap/>
              <w:overflowPunct/>
              <w:bidi w:val="0"/>
              <w:spacing w:line="440" w:lineRule="exact"/>
              <w:jc w:val="center"/>
              <w:rPr>
                <w:rFonts w:ascii="宋体" w:hAnsi="宋体"/>
                <w:szCs w:val="21"/>
              </w:rPr>
            </w:pPr>
            <w:r>
              <w:rPr>
                <w:rFonts w:hint="eastAsia" w:ascii="宋体" w:hAnsi="宋体"/>
              </w:rPr>
              <w:t>服务内容</w:t>
            </w:r>
          </w:p>
        </w:tc>
        <w:tc>
          <w:tcPr>
            <w:tcW w:w="6971" w:type="dxa"/>
            <w:gridSpan w:val="3"/>
            <w:vAlign w:val="center"/>
          </w:tcPr>
          <w:p>
            <w:pPr>
              <w:pageBreakBefore w:val="0"/>
              <w:kinsoku/>
              <w:wordWrap/>
              <w:overflowPunct/>
              <w:bidi w:val="0"/>
              <w:spacing w:line="44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2187" w:type="dxa"/>
            <w:vAlign w:val="center"/>
          </w:tcPr>
          <w:p>
            <w:pPr>
              <w:pageBreakBefore w:val="0"/>
              <w:kinsoku/>
              <w:wordWrap/>
              <w:overflowPunct/>
              <w:bidi w:val="0"/>
              <w:spacing w:line="440" w:lineRule="exact"/>
              <w:jc w:val="center"/>
              <w:rPr>
                <w:rFonts w:ascii="宋体" w:hAnsi="宋体"/>
                <w:szCs w:val="21"/>
              </w:rPr>
            </w:pPr>
            <w:r>
              <w:rPr>
                <w:rFonts w:hint="eastAsia" w:ascii="宋体" w:hAnsi="宋体"/>
              </w:rPr>
              <w:t>报价</w:t>
            </w:r>
          </w:p>
        </w:tc>
        <w:tc>
          <w:tcPr>
            <w:tcW w:w="6971" w:type="dxa"/>
            <w:gridSpan w:val="3"/>
            <w:vAlign w:val="center"/>
          </w:tcPr>
          <w:p>
            <w:pPr>
              <w:pageBreakBefore w:val="0"/>
              <w:kinsoku/>
              <w:wordWrap/>
              <w:overflowPunct/>
              <w:bidi w:val="0"/>
              <w:spacing w:before="120" w:beforeLines="50" w:line="440" w:lineRule="exact"/>
            </w:pPr>
            <w:r>
              <w:rPr>
                <w:rFonts w:hint="eastAsia"/>
              </w:rPr>
              <w:t>大写：</w:t>
            </w:r>
            <w:r>
              <w:rPr>
                <w:rFonts w:hint="eastAsia"/>
                <w:u w:val="single"/>
              </w:rPr>
              <w:t xml:space="preserve">                    </w:t>
            </w:r>
            <w:r>
              <w:rPr>
                <w:rFonts w:hint="eastAsia"/>
              </w:rPr>
              <w:t>元人民币整</w:t>
            </w:r>
          </w:p>
          <w:p>
            <w:pPr>
              <w:pageBreakBefore w:val="0"/>
              <w:kinsoku/>
              <w:wordWrap/>
              <w:overflowPunct/>
              <w:bidi w:val="0"/>
              <w:spacing w:before="120" w:beforeLines="50" w:line="440" w:lineRule="exact"/>
            </w:pPr>
            <w:r>
              <w:rPr>
                <w:rFonts w:hint="eastAsia"/>
              </w:rPr>
              <w:t>小写：</w:t>
            </w:r>
            <w:r>
              <w:rPr>
                <w:rFonts w:hint="eastAsia"/>
                <w:u w:val="single"/>
              </w:rPr>
              <w:t xml:space="preserve">                    </w:t>
            </w:r>
            <w:r>
              <w:rPr>
                <w:rFonts w:hint="eastAsia"/>
              </w:rPr>
              <w:t>元人民币整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187" w:type="dxa"/>
            <w:vAlign w:val="center"/>
          </w:tcPr>
          <w:p>
            <w:pPr>
              <w:pageBreakBefore w:val="0"/>
              <w:kinsoku/>
              <w:wordWrap/>
              <w:overflowPunct/>
              <w:bidi w:val="0"/>
              <w:spacing w:line="440" w:lineRule="exact"/>
              <w:jc w:val="center"/>
              <w:rPr>
                <w:rFonts w:ascii="宋体" w:hAnsi="宋体"/>
              </w:rPr>
            </w:pPr>
            <w:r>
              <w:rPr>
                <w:rFonts w:hint="eastAsia" w:ascii="宋体" w:hAnsi="宋体"/>
              </w:rPr>
              <w:t>服务期限</w:t>
            </w:r>
          </w:p>
        </w:tc>
        <w:tc>
          <w:tcPr>
            <w:tcW w:w="6971" w:type="dxa"/>
            <w:gridSpan w:val="3"/>
            <w:vAlign w:val="center"/>
          </w:tcPr>
          <w:p>
            <w:pPr>
              <w:pageBreakBefore w:val="0"/>
              <w:kinsoku/>
              <w:wordWrap/>
              <w:overflowPunct/>
              <w:bidi w:val="0"/>
              <w:spacing w:line="440" w:lineRule="exac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2187" w:type="dxa"/>
            <w:vAlign w:val="center"/>
          </w:tcPr>
          <w:p>
            <w:pPr>
              <w:pageBreakBefore w:val="0"/>
              <w:kinsoku/>
              <w:wordWrap/>
              <w:overflowPunct/>
              <w:bidi w:val="0"/>
              <w:spacing w:line="440" w:lineRule="exact"/>
              <w:jc w:val="center"/>
              <w:rPr>
                <w:rFonts w:ascii="宋体" w:hAnsi="宋体"/>
                <w:szCs w:val="21"/>
              </w:rPr>
            </w:pPr>
            <w:r>
              <w:rPr>
                <w:rFonts w:hint="eastAsia" w:ascii="宋体" w:hAnsi="宋体"/>
              </w:rPr>
              <w:t>备  注</w:t>
            </w:r>
          </w:p>
        </w:tc>
        <w:tc>
          <w:tcPr>
            <w:tcW w:w="6971" w:type="dxa"/>
            <w:gridSpan w:val="3"/>
            <w:vAlign w:val="center"/>
          </w:tcPr>
          <w:p>
            <w:pPr>
              <w:pageBreakBefore w:val="0"/>
              <w:kinsoku/>
              <w:wordWrap/>
              <w:overflowPunct/>
              <w:bidi w:val="0"/>
              <w:spacing w:line="440" w:lineRule="exact"/>
              <w:rPr>
                <w:rFonts w:ascii="宋体" w:hAnsi="宋体"/>
                <w:szCs w:val="21"/>
              </w:rPr>
            </w:pPr>
          </w:p>
        </w:tc>
      </w:tr>
    </w:tbl>
    <w:p>
      <w:pPr>
        <w:pageBreakBefore w:val="0"/>
        <w:kinsoku/>
        <w:wordWrap/>
        <w:overflowPunct/>
        <w:bidi w:val="0"/>
        <w:adjustRightInd w:val="0"/>
        <w:snapToGrid w:val="0"/>
        <w:spacing w:line="440" w:lineRule="exact"/>
        <w:rPr>
          <w:rFonts w:ascii="宋体" w:hAnsi="宋体"/>
        </w:rPr>
      </w:pPr>
    </w:p>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供应商（盖单位章）：</w:t>
      </w:r>
    </w:p>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法定代表人或其委托代理人签字：</w:t>
      </w:r>
    </w:p>
    <w:p>
      <w:pPr>
        <w:pageBreakBefore w:val="0"/>
        <w:kinsoku/>
        <w:wordWrap/>
        <w:overflowPunct/>
        <w:bidi w:val="0"/>
        <w:adjustRightInd w:val="0"/>
        <w:snapToGrid w:val="0"/>
        <w:spacing w:line="440" w:lineRule="exact"/>
        <w:rPr>
          <w:rFonts w:ascii="宋体" w:hAnsi="宋体" w:cs="宋体"/>
          <w:b/>
          <w:bCs/>
          <w:sz w:val="36"/>
          <w:szCs w:val="36"/>
        </w:rPr>
        <w:sectPr>
          <w:pgSz w:w="11906" w:h="16838"/>
          <w:pgMar w:top="1134" w:right="1134" w:bottom="1134" w:left="1134" w:header="510" w:footer="624" w:gutter="0"/>
          <w:cols w:space="720" w:num="1"/>
          <w:docGrid w:linePitch="312" w:charSpace="0"/>
        </w:sect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bookmarkStart w:id="44" w:name="_Toc472022220"/>
      <w:bookmarkStart w:id="45" w:name="_Toc28508"/>
    </w:p>
    <w:p>
      <w:pPr>
        <w:pageBreakBefore w:val="0"/>
        <w:kinsoku/>
        <w:wordWrap/>
        <w:overflowPunct/>
        <w:bidi w:val="0"/>
        <w:adjustRightInd w:val="0"/>
        <w:snapToGrid w:val="0"/>
        <w:spacing w:line="440" w:lineRule="exact"/>
        <w:ind w:right="420"/>
        <w:outlineLvl w:val="2"/>
        <w:rPr>
          <w:rFonts w:ascii="微软雅黑" w:hAnsi="微软雅黑" w:eastAsia="微软雅黑"/>
          <w:szCs w:val="21"/>
        </w:rPr>
      </w:pPr>
      <w:bookmarkStart w:id="46" w:name="_Toc14607"/>
      <w:r>
        <w:rPr>
          <w:rFonts w:hint="eastAsia" w:ascii="微软雅黑" w:hAnsi="微软雅黑" w:eastAsia="微软雅黑"/>
          <w:szCs w:val="21"/>
        </w:rPr>
        <w:t xml:space="preserve">附件8-2  </w:t>
      </w:r>
      <w:bookmarkEnd w:id="46"/>
    </w:p>
    <w:p>
      <w:pPr>
        <w:pageBreakBefore w:val="0"/>
        <w:kinsoku/>
        <w:wordWrap/>
        <w:overflowPunct/>
        <w:bidi w:val="0"/>
        <w:adjustRightInd w:val="0"/>
        <w:snapToGrid w:val="0"/>
        <w:spacing w:line="440" w:lineRule="exact"/>
        <w:jc w:val="center"/>
        <w:rPr>
          <w:rFonts w:ascii="楷体_GB2312" w:eastAsia="楷体_GB2312"/>
          <w:b/>
          <w:bCs/>
        </w:rPr>
      </w:pPr>
      <w:r>
        <w:rPr>
          <w:rFonts w:hint="eastAsia" w:ascii="黑体" w:hAnsi="宋体" w:eastAsia="黑体"/>
          <w:b/>
          <w:bCs/>
          <w:sz w:val="30"/>
          <w:szCs w:val="30"/>
        </w:rPr>
        <w:t>分项价格表(服务</w:t>
      </w:r>
      <w:r>
        <w:rPr>
          <w:rFonts w:hint="eastAsia" w:ascii="黑体" w:eastAsia="黑体"/>
          <w:b/>
          <w:bCs/>
          <w:sz w:val="30"/>
          <w:szCs w:val="30"/>
        </w:rPr>
        <w:t>类适用</w:t>
      </w:r>
      <w:r>
        <w:rPr>
          <w:rFonts w:hint="eastAsia" w:ascii="黑体" w:hAnsi="宋体" w:eastAsia="黑体"/>
          <w:b/>
          <w:bCs/>
          <w:sz w:val="30"/>
          <w:szCs w:val="30"/>
        </w:rPr>
        <w:t xml:space="preserve">) </w:t>
      </w:r>
    </w:p>
    <w:p>
      <w:pPr>
        <w:pageBreakBefore w:val="0"/>
        <w:kinsoku/>
        <w:wordWrap/>
        <w:overflowPunct/>
        <w:bidi w:val="0"/>
        <w:spacing w:line="440" w:lineRule="exact"/>
        <w:ind w:firstLine="210" w:firstLineChars="100"/>
        <w:rPr>
          <w:rFonts w:ascii="楷体_GB2312" w:eastAsia="楷体_GB2312"/>
          <w:b/>
        </w:rPr>
      </w:pPr>
      <w:r>
        <w:rPr>
          <w:rFonts w:hint="eastAsia" w:ascii="楷体_GB2312" w:eastAsia="楷体_GB2312"/>
          <w:b/>
        </w:rPr>
        <w:t>项目名称：                                                                                                       金额单位：  元</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225"/>
        <w:gridCol w:w="1414"/>
        <w:gridCol w:w="1414"/>
        <w:gridCol w:w="1864"/>
        <w:gridCol w:w="964"/>
        <w:gridCol w:w="964"/>
        <w:gridCol w:w="1993"/>
        <w:gridCol w:w="250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31"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序号</w:t>
            </w:r>
          </w:p>
        </w:tc>
        <w:tc>
          <w:tcPr>
            <w:tcW w:w="1225" w:type="dxa"/>
            <w:vAlign w:val="center"/>
          </w:tcPr>
          <w:p>
            <w:pPr>
              <w:pageBreakBefore w:val="0"/>
              <w:kinsoku/>
              <w:wordWrap/>
              <w:overflowPunct/>
              <w:bidi w:val="0"/>
              <w:adjustRightInd w:val="0"/>
              <w:snapToGrid w:val="0"/>
              <w:spacing w:line="440" w:lineRule="exact"/>
              <w:rPr>
                <w:rFonts w:ascii="宋体" w:hAnsi="宋体"/>
                <w:b/>
                <w:szCs w:val="21"/>
              </w:rPr>
            </w:pPr>
            <w:r>
              <w:rPr>
                <w:rFonts w:hint="eastAsia" w:ascii="宋体" w:hAnsi="宋体"/>
                <w:b/>
                <w:szCs w:val="21"/>
              </w:rPr>
              <w:t>服务名称</w:t>
            </w:r>
          </w:p>
        </w:tc>
        <w:tc>
          <w:tcPr>
            <w:tcW w:w="1414"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品目分类</w:t>
            </w:r>
          </w:p>
        </w:tc>
        <w:tc>
          <w:tcPr>
            <w:tcW w:w="1414"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计量单位</w:t>
            </w:r>
          </w:p>
        </w:tc>
        <w:tc>
          <w:tcPr>
            <w:tcW w:w="1864"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具体要求说明</w:t>
            </w:r>
          </w:p>
        </w:tc>
        <w:tc>
          <w:tcPr>
            <w:tcW w:w="964"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单价</w:t>
            </w:r>
          </w:p>
        </w:tc>
        <w:tc>
          <w:tcPr>
            <w:tcW w:w="964"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数量</w:t>
            </w:r>
          </w:p>
        </w:tc>
        <w:tc>
          <w:tcPr>
            <w:tcW w:w="1993"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小计</w:t>
            </w:r>
          </w:p>
        </w:tc>
        <w:tc>
          <w:tcPr>
            <w:tcW w:w="2507"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1"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225"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864" w:type="dxa"/>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993" w:type="dxa"/>
          </w:tcPr>
          <w:p>
            <w:pPr>
              <w:pageBreakBefore w:val="0"/>
              <w:kinsoku/>
              <w:wordWrap/>
              <w:overflowPunct/>
              <w:bidi w:val="0"/>
              <w:adjustRightInd w:val="0"/>
              <w:snapToGrid w:val="0"/>
              <w:spacing w:line="440" w:lineRule="exact"/>
              <w:jc w:val="center"/>
              <w:rPr>
                <w:rFonts w:ascii="宋体" w:hAnsi="宋体"/>
                <w:szCs w:val="21"/>
              </w:rPr>
            </w:pPr>
          </w:p>
        </w:tc>
        <w:tc>
          <w:tcPr>
            <w:tcW w:w="2507" w:type="dxa"/>
            <w:vAlign w:val="center"/>
          </w:tcPr>
          <w:p>
            <w:pPr>
              <w:pageBreakBefore w:val="0"/>
              <w:kinsoku/>
              <w:wordWrap/>
              <w:overflowPunct/>
              <w:bidi w:val="0"/>
              <w:adjustRightInd w:val="0"/>
              <w:snapToGrid w:val="0"/>
              <w:spacing w:line="44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1"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225"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864" w:type="dxa"/>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993" w:type="dxa"/>
          </w:tcPr>
          <w:p>
            <w:pPr>
              <w:pageBreakBefore w:val="0"/>
              <w:kinsoku/>
              <w:wordWrap/>
              <w:overflowPunct/>
              <w:bidi w:val="0"/>
              <w:adjustRightInd w:val="0"/>
              <w:snapToGrid w:val="0"/>
              <w:spacing w:line="440" w:lineRule="exact"/>
              <w:jc w:val="center"/>
              <w:rPr>
                <w:rFonts w:ascii="宋体" w:hAnsi="宋体"/>
                <w:szCs w:val="21"/>
              </w:rPr>
            </w:pPr>
          </w:p>
        </w:tc>
        <w:tc>
          <w:tcPr>
            <w:tcW w:w="2507" w:type="dxa"/>
            <w:vAlign w:val="center"/>
          </w:tcPr>
          <w:p>
            <w:pPr>
              <w:pageBreakBefore w:val="0"/>
              <w:kinsoku/>
              <w:wordWrap/>
              <w:overflowPunct/>
              <w:bidi w:val="0"/>
              <w:adjustRightInd w:val="0"/>
              <w:snapToGrid w:val="0"/>
              <w:spacing w:line="44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1"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225"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864" w:type="dxa"/>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993" w:type="dxa"/>
          </w:tcPr>
          <w:p>
            <w:pPr>
              <w:pageBreakBefore w:val="0"/>
              <w:kinsoku/>
              <w:wordWrap/>
              <w:overflowPunct/>
              <w:bidi w:val="0"/>
              <w:adjustRightInd w:val="0"/>
              <w:snapToGrid w:val="0"/>
              <w:spacing w:line="440" w:lineRule="exact"/>
              <w:jc w:val="center"/>
              <w:rPr>
                <w:rFonts w:ascii="宋体" w:hAnsi="宋体"/>
                <w:szCs w:val="21"/>
              </w:rPr>
            </w:pPr>
          </w:p>
        </w:tc>
        <w:tc>
          <w:tcPr>
            <w:tcW w:w="2507" w:type="dxa"/>
            <w:vAlign w:val="center"/>
          </w:tcPr>
          <w:p>
            <w:pPr>
              <w:pageBreakBefore w:val="0"/>
              <w:kinsoku/>
              <w:wordWrap/>
              <w:overflowPunct/>
              <w:bidi w:val="0"/>
              <w:adjustRightInd w:val="0"/>
              <w:snapToGrid w:val="0"/>
              <w:spacing w:line="44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1"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225"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合计</w:t>
            </w: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864" w:type="dxa"/>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993" w:type="dxa"/>
          </w:tcPr>
          <w:p>
            <w:pPr>
              <w:pageBreakBefore w:val="0"/>
              <w:kinsoku/>
              <w:wordWrap/>
              <w:overflowPunct/>
              <w:bidi w:val="0"/>
              <w:adjustRightInd w:val="0"/>
              <w:snapToGrid w:val="0"/>
              <w:spacing w:line="440" w:lineRule="exact"/>
              <w:jc w:val="center"/>
              <w:rPr>
                <w:rFonts w:ascii="宋体" w:hAnsi="宋体"/>
                <w:szCs w:val="21"/>
              </w:rPr>
            </w:pPr>
          </w:p>
        </w:tc>
        <w:tc>
          <w:tcPr>
            <w:tcW w:w="2507" w:type="dxa"/>
            <w:vAlign w:val="center"/>
          </w:tcPr>
          <w:p>
            <w:pPr>
              <w:pageBreakBefore w:val="0"/>
              <w:kinsoku/>
              <w:wordWrap/>
              <w:overflowPunct/>
              <w:bidi w:val="0"/>
              <w:adjustRightInd w:val="0"/>
              <w:snapToGrid w:val="0"/>
              <w:spacing w:line="440" w:lineRule="exact"/>
              <w:jc w:val="center"/>
              <w:rPr>
                <w:rFonts w:ascii="宋体" w:hAnsi="宋体"/>
                <w:szCs w:val="21"/>
              </w:rPr>
            </w:pPr>
          </w:p>
        </w:tc>
      </w:tr>
    </w:tbl>
    <w:p>
      <w:pPr>
        <w:pageBreakBefore w:val="0"/>
        <w:kinsoku/>
        <w:wordWrap/>
        <w:overflowPunct/>
        <w:bidi w:val="0"/>
        <w:spacing w:line="440" w:lineRule="exact"/>
        <w:rPr>
          <w:rFonts w:ascii="楷体_GB2312" w:eastAsia="楷体_GB2312"/>
          <w:b/>
        </w:rPr>
      </w:pPr>
    </w:p>
    <w:p>
      <w:pPr>
        <w:pageBreakBefore w:val="0"/>
        <w:kinsoku/>
        <w:wordWrap/>
        <w:overflowPunct/>
        <w:bidi w:val="0"/>
        <w:adjustRightInd w:val="0"/>
        <w:snapToGrid w:val="0"/>
        <w:spacing w:line="440" w:lineRule="exact"/>
        <w:ind w:firstLine="420" w:firstLineChars="200"/>
        <w:rPr>
          <w:rFonts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pageBreakBefore w:val="0"/>
        <w:kinsoku/>
        <w:wordWrap/>
        <w:overflowPunct/>
        <w:bidi w:val="0"/>
        <w:adjustRightInd w:val="0"/>
        <w:snapToGrid w:val="0"/>
        <w:spacing w:line="440" w:lineRule="exact"/>
        <w:ind w:firstLine="420" w:firstLineChars="200"/>
        <w:rPr>
          <w:rFonts w:ascii="宋体" w:hAnsi="宋体"/>
          <w:szCs w:val="21"/>
        </w:rPr>
      </w:pPr>
      <w:r>
        <w:rPr>
          <w:rFonts w:hint="eastAsia" w:ascii="宋体" w:hAnsi="宋体"/>
          <w:szCs w:val="21"/>
        </w:rPr>
        <w:t>供应商（盖单位章）：</w:t>
      </w:r>
    </w:p>
    <w:p>
      <w:pPr>
        <w:pageBreakBefore w:val="0"/>
        <w:kinsoku/>
        <w:wordWrap/>
        <w:overflowPunct/>
        <w:bidi w:val="0"/>
        <w:adjustRightInd w:val="0"/>
        <w:snapToGrid w:val="0"/>
        <w:spacing w:line="440" w:lineRule="exact"/>
        <w:ind w:firstLine="420" w:firstLineChars="200"/>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rPr>
        <w:t xml:space="preserve">       </w:t>
      </w:r>
    </w:p>
    <w:p>
      <w:pPr>
        <w:pageBreakBefore w:val="0"/>
        <w:kinsoku/>
        <w:wordWrap/>
        <w:overflowPunct/>
        <w:bidi w:val="0"/>
        <w:adjustRightInd w:val="0"/>
        <w:snapToGrid w:val="0"/>
        <w:spacing w:line="440" w:lineRule="exact"/>
        <w:ind w:firstLine="420" w:firstLineChars="20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日 </w:t>
      </w:r>
    </w:p>
    <w:p>
      <w:pPr>
        <w:pageBreakBefore w:val="0"/>
        <w:kinsoku/>
        <w:wordWrap/>
        <w:overflowPunct/>
        <w:bidi w:val="0"/>
        <w:adjustRightInd w:val="0"/>
        <w:snapToGrid w:val="0"/>
        <w:spacing w:line="440" w:lineRule="exact"/>
        <w:ind w:firstLine="420" w:firstLineChars="200"/>
        <w:rPr>
          <w:rFonts w:ascii="宋体" w:hAnsi="宋体"/>
          <w:szCs w:val="21"/>
        </w:rPr>
      </w:pPr>
      <w:r>
        <w:rPr>
          <w:rFonts w:hint="eastAsia" w:ascii="宋体" w:hAnsi="宋体"/>
          <w:szCs w:val="21"/>
        </w:rPr>
        <w:t>说明：</w:t>
      </w:r>
    </w:p>
    <w:p>
      <w:pPr>
        <w:pageBreakBefore w:val="0"/>
        <w:kinsoku/>
        <w:wordWrap/>
        <w:overflowPunct/>
        <w:bidi w:val="0"/>
        <w:adjustRightInd w:val="0"/>
        <w:snapToGrid w:val="0"/>
        <w:spacing w:line="440" w:lineRule="exact"/>
        <w:ind w:left="-88" w:leftChars="-42" w:firstLine="315" w:firstLineChars="150"/>
        <w:rPr>
          <w:rFonts w:ascii="宋体" w:hAnsi="宋体"/>
          <w:szCs w:val="21"/>
        </w:rPr>
      </w:pPr>
      <w:r>
        <w:rPr>
          <w:rFonts w:hint="eastAsia" w:ascii="宋体" w:hAnsi="宋体"/>
          <w:szCs w:val="21"/>
        </w:rPr>
        <w:t>1、本表包含磋商文件第四章《采购需求》或其他部分对该项目所有要求的详细报价。“合计”及“报价金额合计”应与附件8-1《报价一览表》“报价”一致；栏目“单价”为综合单价，应包含所有隐含的管理费、税金和利润等其他费用，并在“具体要求说明”中注明分类项取费标准和其他费用的计费率和金额。</w:t>
      </w:r>
    </w:p>
    <w:p>
      <w:pPr>
        <w:pageBreakBefore w:val="0"/>
        <w:kinsoku/>
        <w:wordWrap/>
        <w:overflowPunct/>
        <w:bidi w:val="0"/>
        <w:adjustRightInd w:val="0"/>
        <w:snapToGrid w:val="0"/>
        <w:spacing w:line="440" w:lineRule="exact"/>
        <w:ind w:left="-88" w:leftChars="-42" w:firstLine="315" w:firstLineChars="150"/>
        <w:rPr>
          <w:rFonts w:ascii="宋体" w:hAnsi="宋体"/>
          <w:szCs w:val="21"/>
        </w:rPr>
      </w:pPr>
      <w:r>
        <w:rPr>
          <w:rFonts w:hint="eastAsia" w:ascii="宋体" w:hAnsi="宋体"/>
          <w:szCs w:val="21"/>
        </w:rPr>
        <w:t>2、“服务名称”是指整包分项服务的内容，品目分类是指分项服务费用构成的明细分类项。</w:t>
      </w:r>
    </w:p>
    <w:p>
      <w:pPr>
        <w:pageBreakBefore w:val="0"/>
        <w:kinsoku/>
        <w:wordWrap/>
        <w:overflowPunct/>
        <w:bidi w:val="0"/>
        <w:adjustRightInd w:val="0"/>
        <w:snapToGrid w:val="0"/>
        <w:spacing w:line="440" w:lineRule="exact"/>
        <w:ind w:left="-88" w:leftChars="-42" w:firstLine="542" w:firstLineChars="150"/>
        <w:rPr>
          <w:rFonts w:ascii="宋体" w:hAnsi="宋体" w:cs="宋体"/>
          <w:b/>
          <w:bCs/>
          <w:sz w:val="36"/>
          <w:szCs w:val="36"/>
        </w:rPr>
        <w:sectPr>
          <w:pgSz w:w="16838" w:h="11906" w:orient="landscape"/>
          <w:pgMar w:top="1134" w:right="1134" w:bottom="1134" w:left="1134" w:header="510" w:footer="624" w:gutter="0"/>
          <w:cols w:space="720" w:num="1"/>
          <w:docGrid w:linePitch="312" w:charSpace="0"/>
        </w:sect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r>
        <w:rPr>
          <w:rFonts w:hint="eastAsia" w:ascii="宋体" w:hAnsi="宋体" w:cs="宋体"/>
          <w:b/>
          <w:bCs/>
          <w:sz w:val="36"/>
          <w:szCs w:val="36"/>
        </w:rPr>
        <w:t>七、供应商认为需要提供的其它资料</w:t>
      </w:r>
      <w:bookmarkEnd w:id="44"/>
      <w:bookmarkEnd w:id="45"/>
    </w:p>
    <w:p>
      <w:pPr>
        <w:pageBreakBefore w:val="0"/>
        <w:numPr>
          <w:ilvl w:val="0"/>
          <w:numId w:val="12"/>
        </w:numPr>
        <w:kinsoku/>
        <w:wordWrap/>
        <w:overflowPunct/>
        <w:bidi w:val="0"/>
        <w:spacing w:before="120" w:beforeLines="50" w:line="440" w:lineRule="exact"/>
        <w:rPr>
          <w:rFonts w:ascii="宋体" w:hAnsi="宋体"/>
          <w:bCs/>
          <w:szCs w:val="21"/>
        </w:rPr>
      </w:pPr>
      <w:r>
        <w:rPr>
          <w:rFonts w:hint="eastAsia" w:ascii="宋体" w:hAnsi="宋体"/>
          <w:bCs/>
          <w:szCs w:val="21"/>
        </w:rPr>
        <w:t>提供第二章中“评审方法”及第四章要求的相关资料。</w:t>
      </w:r>
    </w:p>
    <w:p>
      <w:pPr>
        <w:pageBreakBefore w:val="0"/>
        <w:numPr>
          <w:ilvl w:val="0"/>
          <w:numId w:val="12"/>
        </w:numPr>
        <w:kinsoku/>
        <w:wordWrap/>
        <w:overflowPunct/>
        <w:bidi w:val="0"/>
        <w:spacing w:before="120" w:beforeLines="50" w:line="440" w:lineRule="exact"/>
        <w:rPr>
          <w:rFonts w:ascii="宋体" w:hAnsi="宋体"/>
          <w:bCs/>
          <w:szCs w:val="21"/>
        </w:rPr>
      </w:pPr>
      <w:r>
        <w:rPr>
          <w:rFonts w:hint="eastAsia" w:ascii="宋体" w:hAnsi="宋体"/>
          <w:bCs/>
          <w:szCs w:val="21"/>
        </w:rPr>
        <w:t>提供其它能证明供应商实力、信誉等相关的资料。</w:t>
      </w:r>
    </w:p>
    <w:p>
      <w:pPr>
        <w:pageBreakBefore w:val="0"/>
        <w:kinsoku/>
        <w:wordWrap/>
        <w:overflowPunct/>
        <w:bidi w:val="0"/>
        <w:adjustRightInd w:val="0"/>
        <w:snapToGrid w:val="0"/>
        <w:spacing w:line="440" w:lineRule="exact"/>
        <w:ind w:left="-88" w:leftChars="-42"/>
        <w:rPr>
          <w:rFonts w:ascii="宋体" w:hAnsi="宋体"/>
          <w:bCs/>
          <w:sz w:val="32"/>
          <w:szCs w:val="32"/>
        </w:rPr>
      </w:pPr>
    </w:p>
    <w:p>
      <w:pPr>
        <w:pageBreakBefore w:val="0"/>
        <w:kinsoku/>
        <w:wordWrap/>
        <w:overflowPunct/>
        <w:bidi w:val="0"/>
        <w:adjustRightInd w:val="0"/>
        <w:snapToGrid w:val="0"/>
        <w:spacing w:line="440" w:lineRule="exact"/>
        <w:rPr>
          <w:rFonts w:ascii="宋体" w:hAnsi="宋体"/>
          <w:bCs/>
          <w:sz w:val="28"/>
          <w:szCs w:val="28"/>
        </w:rPr>
        <w:sectPr>
          <w:pgSz w:w="11906" w:h="16838"/>
          <w:pgMar w:top="1134" w:right="1134" w:bottom="1134" w:left="1134" w:header="510" w:footer="624" w:gutter="0"/>
          <w:cols w:space="720" w:num="1"/>
          <w:docGrid w:linePitch="312" w:charSpace="0"/>
        </w:sect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bookmarkStart w:id="47" w:name="_Toc25150"/>
      <w:bookmarkStart w:id="48" w:name="_Toc472022221"/>
      <w:r>
        <w:rPr>
          <w:rFonts w:hint="eastAsia" w:ascii="宋体" w:hAnsi="宋体" w:cs="宋体"/>
          <w:b/>
          <w:bCs/>
          <w:sz w:val="36"/>
          <w:szCs w:val="36"/>
        </w:rPr>
        <w:t>八、最后报价</w:t>
      </w:r>
      <w:bookmarkEnd w:id="47"/>
      <w:bookmarkEnd w:id="48"/>
    </w:p>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说明：</w:t>
      </w:r>
    </w:p>
    <w:p>
      <w:pPr>
        <w:pageBreakBefore w:val="0"/>
        <w:kinsoku/>
        <w:wordWrap/>
        <w:overflowPunct/>
        <w:bidi w:val="0"/>
        <w:adjustRightInd w:val="0"/>
        <w:snapToGrid w:val="0"/>
        <w:spacing w:before="120" w:beforeLines="50" w:after="120" w:afterLines="50" w:line="440" w:lineRule="exact"/>
        <w:ind w:firstLine="420" w:firstLineChars="200"/>
      </w:pPr>
      <w:r>
        <w:rPr>
          <w:rFonts w:hint="eastAsia" w:ascii="宋体" w:hAnsi="宋体"/>
          <w:szCs w:val="21"/>
        </w:rPr>
        <w:t>1、最后报价按第二章磋商须知第30条规定提供，格式按附件8-1、附件8-2提供。</w:t>
      </w:r>
    </w:p>
    <w:p>
      <w:pPr>
        <w:pageBreakBefore w:val="0"/>
        <w:kinsoku/>
        <w:wordWrap/>
        <w:overflowPunct/>
        <w:bidi w:val="0"/>
        <w:spacing w:line="440" w:lineRule="exact"/>
        <w:textAlignment w:val="baseline"/>
        <w:rPr>
          <w:rStyle w:val="60"/>
          <w:rFonts w:ascii="宋体" w:hAnsi="宋体"/>
          <w:b/>
        </w:rPr>
      </w:pPr>
      <w:r>
        <w:rPr>
          <w:rStyle w:val="60"/>
          <w:rFonts w:ascii="宋体" w:hAnsi="宋体"/>
          <w:b/>
          <w:szCs w:val="21"/>
        </w:rPr>
        <w:t>注：最后报价开标时自备，需加盖</w:t>
      </w:r>
      <w:r>
        <w:rPr>
          <w:rStyle w:val="60"/>
          <w:rFonts w:hint="eastAsia" w:ascii="宋体" w:hAnsi="宋体"/>
          <w:b/>
          <w:szCs w:val="21"/>
        </w:rPr>
        <w:t>供应商</w:t>
      </w:r>
      <w:r>
        <w:rPr>
          <w:rStyle w:val="60"/>
          <w:rFonts w:ascii="宋体" w:hAnsi="宋体"/>
          <w:b/>
          <w:szCs w:val="21"/>
        </w:rPr>
        <w:t>公章</w:t>
      </w:r>
      <w:r>
        <w:rPr>
          <w:rStyle w:val="60"/>
          <w:rFonts w:hint="eastAsia" w:ascii="宋体" w:hAnsi="宋体"/>
          <w:b/>
          <w:szCs w:val="21"/>
        </w:rPr>
        <w:t>，由代理机构通知后现场提交</w:t>
      </w:r>
      <w:r>
        <w:rPr>
          <w:rStyle w:val="60"/>
          <w:rFonts w:ascii="宋体" w:hAnsi="宋体"/>
          <w:b/>
          <w:szCs w:val="21"/>
        </w:rPr>
        <w:t>。</w:t>
      </w:r>
    </w:p>
    <w:p>
      <w:pPr>
        <w:pageBreakBefore w:val="0"/>
        <w:kinsoku/>
        <w:wordWrap/>
        <w:overflowPunct/>
        <w:bidi w:val="0"/>
        <w:adjustRightInd w:val="0"/>
        <w:snapToGrid w:val="0"/>
        <w:spacing w:line="440" w:lineRule="exact"/>
        <w:rPr>
          <w:rFonts w:hint="eastAsia" w:ascii="宋体" w:hAnsi="宋体" w:eastAsia="宋体"/>
          <w:lang w:val="en-US" w:eastAsia="zh-CN"/>
        </w:rPr>
      </w:pPr>
    </w:p>
    <w:sectPr>
      <w:pgSz w:w="11906" w:h="16838"/>
      <w:pgMar w:top="1134" w:right="1134" w:bottom="1134" w:left="1134" w:header="510" w:footer="62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onospace">
    <w:altName w:val="Noto Sans CJK HK"/>
    <w:panose1 w:val="00000000000000000000"/>
    <w:charset w:val="00"/>
    <w:family w:val="auto"/>
    <w:pitch w:val="default"/>
    <w:sig w:usb0="00000000" w:usb1="00000000" w:usb2="00000000" w:usb3="00000000" w:csb0="00040001" w:csb1="00000000"/>
  </w:font>
  <w:font w:name="MyanbingST">
    <w:altName w:val="Noto Sans CJK HK"/>
    <w:panose1 w:val="00000000000000000000"/>
    <w:charset w:val="00"/>
    <w:family w:val="auto"/>
    <w:pitch w:val="default"/>
    <w:sig w:usb0="00000000" w:usb1="00000000" w:usb2="00000000"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6pebnPAAAABQEAAA8AAAAAAAAAAQAgAAAAOAAAAGRycy9kb3ducmV2LnhtbFBLAQIUABQA&#10;AAAIAIdO4kBIRKlWqgEAAEUDAAAOAAAAAAAAAAEAIAAAADQBAABkcnMvZTJvRG9jLnhtbFBLBQYA&#10;AAAABgAGAFkBAABQBQ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4"/>
                            <w:rPr>
                              <w:rStyle w:val="35"/>
                              <w:rFonts w:ascii="宋体" w:hAnsi="宋体" w:cs="宋体"/>
                              <w:b/>
                              <w:bCs/>
                            </w:rPr>
                          </w:pPr>
                          <w:r>
                            <w:rPr>
                              <w:rFonts w:hint="eastAsia" w:ascii="宋体" w:hAnsi="宋体" w:cs="宋体"/>
                              <w:b/>
                              <w:bCs/>
                            </w:rPr>
                            <w:fldChar w:fldCharType="begin"/>
                          </w:r>
                          <w:r>
                            <w:rPr>
                              <w:rStyle w:val="35"/>
                              <w:rFonts w:hint="eastAsia" w:ascii="宋体" w:hAnsi="宋体" w:cs="宋体"/>
                              <w:b/>
                              <w:bCs/>
                            </w:rPr>
                            <w:instrText xml:space="preserve">PAGE  </w:instrText>
                          </w:r>
                          <w:r>
                            <w:rPr>
                              <w:rFonts w:hint="eastAsia" w:ascii="宋体" w:hAnsi="宋体" w:cs="宋体"/>
                              <w:b/>
                              <w:bCs/>
                            </w:rPr>
                            <w:fldChar w:fldCharType="separate"/>
                          </w:r>
                          <w:r>
                            <w:rPr>
                              <w:rStyle w:val="35"/>
                              <w:rFonts w:ascii="宋体" w:hAnsi="宋体" w:cs="宋体"/>
                              <w:b/>
                              <w:bCs/>
                            </w:rPr>
                            <w:t>10</w:t>
                          </w:r>
                          <w:r>
                            <w:rPr>
                              <w:rFonts w:hint="eastAsia" w:ascii="宋体" w:hAnsi="宋体" w:cs="宋体"/>
                              <w:b/>
                              <w:bCs/>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NSztRK4BAABQAwAADgAAAAAAAAABACAAAAA0AQAAZHJzL2Uyb0RvYy54bWxQ&#10;SwUGAAAAAAYABgBZAQAAVAUAAAAA&#10;">
              <v:fill on="f" focussize="0,0"/>
              <v:stroke on="f"/>
              <v:imagedata o:title=""/>
              <o:lock v:ext="edit" aspectratio="f"/>
              <v:textbox inset="0mm,0mm,0mm,0mm" style="mso-fit-shape-to-text:t;">
                <w:txbxContent>
                  <w:p>
                    <w:pPr>
                      <w:pStyle w:val="24"/>
                      <w:rPr>
                        <w:rStyle w:val="35"/>
                        <w:rFonts w:ascii="宋体" w:hAnsi="宋体" w:cs="宋体"/>
                        <w:b/>
                        <w:bCs/>
                      </w:rPr>
                    </w:pPr>
                    <w:r>
                      <w:rPr>
                        <w:rFonts w:hint="eastAsia" w:ascii="宋体" w:hAnsi="宋体" w:cs="宋体"/>
                        <w:b/>
                        <w:bCs/>
                      </w:rPr>
                      <w:fldChar w:fldCharType="begin"/>
                    </w:r>
                    <w:r>
                      <w:rPr>
                        <w:rStyle w:val="35"/>
                        <w:rFonts w:hint="eastAsia" w:ascii="宋体" w:hAnsi="宋体" w:cs="宋体"/>
                        <w:b/>
                        <w:bCs/>
                      </w:rPr>
                      <w:instrText xml:space="preserve">PAGE  </w:instrText>
                    </w:r>
                    <w:r>
                      <w:rPr>
                        <w:rFonts w:hint="eastAsia" w:ascii="宋体" w:hAnsi="宋体" w:cs="宋体"/>
                        <w:b/>
                        <w:bCs/>
                      </w:rPr>
                      <w:fldChar w:fldCharType="separate"/>
                    </w:r>
                    <w:r>
                      <w:rPr>
                        <w:rStyle w:val="35"/>
                        <w:rFonts w:ascii="宋体" w:hAnsi="宋体" w:cs="宋体"/>
                        <w:b/>
                        <w:bCs/>
                      </w:rPr>
                      <w:t>10</w:t>
                    </w:r>
                    <w:r>
                      <w:rPr>
                        <w:rFonts w:hint="eastAsia" w:ascii="宋体" w:hAnsi="宋体" w:cs="宋体"/>
                        <w:b/>
                        <w:bCs/>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OqXm5zwAAAAUBAAAPAAAAAAAAAAEAIAAAADgAAABkcnMvZG93bnJldi54bWxQSwECFAAU&#10;AAAACACHTuJATl6hBKsBAABFAwAADgAAAAAAAAABACAAAAA0AQAAZHJzL2Uyb0RvYy54bWxQSwUG&#10;AAAAAAYABgBZAQAAUQ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0"/>
      </w:pBdr>
      <w:jc w:val="distribute"/>
    </w:pPr>
    <w:r>
      <w:rPr>
        <w:rFonts w:hint="eastAsia" w:ascii="宋体" w:hAnsi="宋体" w:cs="宋体"/>
        <w:lang w:eastAsia="zh-CN"/>
      </w:rPr>
      <w:t>《习近平总书记考察湖南三周年特别宣传策划》</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竞争性磋商</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0"/>
      </w:pBdr>
      <w:jc w:val="distribute"/>
    </w:pPr>
    <w:r>
      <w:rPr>
        <w:rFonts w:hint="eastAsia" w:ascii="宋体" w:hAnsi="宋体" w:cs="宋体"/>
        <w:lang w:eastAsia="zh-CN"/>
      </w:rPr>
      <w:t>《习近平总书记考察湖南三周年特别宣传策划》</w:t>
    </w:r>
    <w:r>
      <w:rPr>
        <w:rFonts w:hint="eastAsia" w:ascii="宋体" w:hAnsi="宋体" w:cs="宋体"/>
        <w:lang w:val="en-US" w:eastAsia="zh-CN"/>
      </w:rPr>
      <w:t xml:space="preserve">                                                     </w:t>
    </w:r>
    <w:r>
      <w:rPr>
        <w:rFonts w:hint="eastAsia" w:ascii="宋体" w:hAnsi="宋体" w:cs="宋体"/>
      </w:rPr>
      <w:t xml:space="preserve">  竞争性磋商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0"/>
      </w:pBdr>
      <w:jc w:val="distribute"/>
    </w:pPr>
    <w:r>
      <w:rPr>
        <w:rFonts w:hint="eastAsia" w:ascii="宋体" w:hAnsi="宋体" w:cs="宋体"/>
        <w:lang w:eastAsia="zh-CN"/>
      </w:rPr>
      <w:t>《习近平总书记考察湖南三周年特别宣传策划》</w:t>
    </w:r>
    <w:r>
      <w:rPr>
        <w:rFonts w:hint="eastAsia" w:ascii="宋体" w:hAnsi="宋体" w:cs="宋体"/>
        <w:lang w:val="en-US" w:eastAsia="zh-CN"/>
      </w:rPr>
      <w:t xml:space="preserve">                                           </w:t>
    </w:r>
    <w:r>
      <w:rPr>
        <w:rFonts w:hint="eastAsia" w:ascii="宋体" w:hAnsi="宋体" w:cs="宋体"/>
      </w:rPr>
      <w:t xml:space="preserve">  竞争性磋商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0"/>
      </w:pBdr>
      <w:jc w:val="distribute"/>
    </w:pPr>
    <w:r>
      <w:rPr>
        <w:rFonts w:hint="eastAsia" w:ascii="宋体" w:hAnsi="宋体" w:cs="宋体"/>
        <w:lang w:eastAsia="zh-CN"/>
      </w:rPr>
      <w:t>《习近平总书记考察湖南三周年特别宣传策划》</w:t>
    </w:r>
    <w:r>
      <w:rPr>
        <w:rFonts w:hint="eastAsia" w:ascii="宋体" w:hAnsi="宋体" w:cs="宋体"/>
        <w:lang w:val="en-US" w:eastAsia="zh-CN"/>
      </w:rPr>
      <w:t xml:space="preserve">                                                      </w:t>
    </w:r>
    <w:r>
      <w:rPr>
        <w:rFonts w:hint="eastAsia" w:ascii="宋体" w:hAnsi="宋体" w:cs="宋体"/>
      </w:rPr>
      <w:t xml:space="preserve">  竞争性磋商</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0"/>
      </w:pBdr>
      <w:jc w:val="distribute"/>
    </w:pPr>
    <w:r>
      <w:rPr>
        <w:rFonts w:hint="eastAsia" w:ascii="宋体" w:hAnsi="宋体" w:cs="宋体"/>
        <w:lang w:eastAsia="zh-CN"/>
      </w:rPr>
      <w:t>《习近平总书记考察湖南三周年特别宣传策划》</w:t>
    </w:r>
    <w:r>
      <w:rPr>
        <w:rFonts w:hint="eastAsia" w:ascii="宋体" w:hAnsi="宋体" w:cs="宋体"/>
        <w:lang w:val="en-US" w:eastAsia="zh-CN"/>
      </w:rPr>
      <w:t xml:space="preserve">                                                     </w:t>
    </w:r>
    <w:r>
      <w:rPr>
        <w:rFonts w:hint="eastAsia" w:ascii="宋体" w:hAnsi="宋体" w:cs="宋体"/>
      </w:rPr>
      <w:t xml:space="preserve">  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4FDDE"/>
    <w:multiLevelType w:val="singleLevel"/>
    <w:tmpl w:val="8E84FDDE"/>
    <w:lvl w:ilvl="0" w:tentative="0">
      <w:start w:val="4"/>
      <w:numFmt w:val="chineseCounting"/>
      <w:suff w:val="nothing"/>
      <w:lvlText w:val="%1、"/>
      <w:lvlJc w:val="left"/>
      <w:rPr>
        <w:rFonts w:hint="eastAsia"/>
      </w:rPr>
    </w:lvl>
  </w:abstractNum>
  <w:abstractNum w:abstractNumId="1">
    <w:nsid w:val="DD33715F"/>
    <w:multiLevelType w:val="singleLevel"/>
    <w:tmpl w:val="DD33715F"/>
    <w:lvl w:ilvl="0" w:tentative="0">
      <w:start w:val="1"/>
      <w:numFmt w:val="decimal"/>
      <w:suff w:val="nothing"/>
      <w:lvlText w:val="%1、"/>
      <w:lvlJc w:val="left"/>
    </w:lvl>
  </w:abstractNum>
  <w:abstractNum w:abstractNumId="2">
    <w:nsid w:val="F48F2D21"/>
    <w:multiLevelType w:val="singleLevel"/>
    <w:tmpl w:val="F48F2D21"/>
    <w:lvl w:ilvl="0" w:tentative="0">
      <w:start w:val="1"/>
      <w:numFmt w:val="decimal"/>
      <w:suff w:val="nothing"/>
      <w:lvlText w:val="%1、"/>
      <w:lvlJc w:val="left"/>
    </w:lvl>
  </w:abstractNum>
  <w:abstractNum w:abstractNumId="3">
    <w:nsid w:val="0000000A"/>
    <w:multiLevelType w:val="multilevel"/>
    <w:tmpl w:val="0000000A"/>
    <w:lvl w:ilvl="0" w:tentative="0">
      <w:start w:val="1"/>
      <w:numFmt w:val="decimal"/>
      <w:lvlText w:val="%1"/>
      <w:lvlJc w:val="left"/>
      <w:pPr>
        <w:tabs>
          <w:tab w:val="left" w:pos="-88"/>
        </w:tabs>
        <w:ind w:left="0" w:firstLine="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
    <w:nsid w:val="0000000B"/>
    <w:multiLevelType w:val="multilevel"/>
    <w:tmpl w:val="0000000B"/>
    <w:lvl w:ilvl="0" w:tentative="0">
      <w:start w:val="1"/>
      <w:numFmt w:val="decimal"/>
      <w:lvlText w:val="%1. "/>
      <w:lvlJc w:val="left"/>
      <w:pPr>
        <w:tabs>
          <w:tab w:val="left" w:pos="0"/>
        </w:tabs>
        <w:ind w:left="329" w:hanging="329"/>
      </w:pPr>
      <w:rPr>
        <w:rFonts w:hint="eastAsia" w:ascii="宋体" w:hAnsi="宋体" w:eastAsia="宋体"/>
        <w:b w:val="0"/>
        <w:i w:val="0"/>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0000000C"/>
    <w:multiLevelType w:val="multilevel"/>
    <w:tmpl w:val="0000000C"/>
    <w:lvl w:ilvl="0" w:tentative="0">
      <w:start w:val="1"/>
      <w:numFmt w:val="decimal"/>
      <w:lvlText w:val="（%1） "/>
      <w:lvlJc w:val="left"/>
      <w:pPr>
        <w:tabs>
          <w:tab w:val="left" w:pos="0"/>
        </w:tabs>
        <w:ind w:left="0" w:firstLine="84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5"/>
    <w:multiLevelType w:val="multilevel"/>
    <w:tmpl w:val="00000015"/>
    <w:lvl w:ilvl="0" w:tentative="0">
      <w:start w:val="1"/>
      <w:numFmt w:val="decimal"/>
      <w:lvlText w:val="%1. "/>
      <w:lvlJc w:val="left"/>
      <w:pPr>
        <w:tabs>
          <w:tab w:val="left" w:pos="0"/>
        </w:tabs>
        <w:ind w:left="0" w:firstLine="113"/>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7"/>
    <w:multiLevelType w:val="multilevel"/>
    <w:tmpl w:val="00000017"/>
    <w:lvl w:ilvl="0" w:tentative="0">
      <w:start w:val="1"/>
      <w:numFmt w:val="chineseCountingThousand"/>
      <w:lvlText w:val="第%1章 "/>
      <w:lvlJc w:val="center"/>
      <w:pPr>
        <w:tabs>
          <w:tab w:val="left" w:pos="0"/>
        </w:tabs>
        <w:ind w:left="0" w:firstLine="0"/>
      </w:pPr>
      <w:rPr>
        <w:rFonts w:hint="default"/>
      </w:rPr>
    </w:lvl>
    <w:lvl w:ilvl="1" w:tentative="0">
      <w:start w:val="1"/>
      <w:numFmt w:val="chineseCountingThousand"/>
      <w:lvlText w:val="%2、"/>
      <w:lvlJc w:val="left"/>
      <w:pPr>
        <w:tabs>
          <w:tab w:val="left" w:pos="0"/>
        </w:tabs>
        <w:ind w:left="0" w:firstLine="0"/>
      </w:pPr>
      <w:rPr>
        <w:rFonts w:hint="eastAsia" w:ascii="黑体" w:hAnsi="宋体" w:eastAsia="黑体"/>
        <w:b w:val="0"/>
        <w:i w:val="0"/>
        <w:spacing w:val="0"/>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A690816"/>
    <w:multiLevelType w:val="singleLevel"/>
    <w:tmpl w:val="0A690816"/>
    <w:lvl w:ilvl="0" w:tentative="0">
      <w:start w:val="1"/>
      <w:numFmt w:val="decimal"/>
      <w:suff w:val="nothing"/>
      <w:lvlText w:val="%1、"/>
      <w:lvlJc w:val="left"/>
    </w:lvl>
  </w:abstractNum>
  <w:abstractNum w:abstractNumId="10">
    <w:nsid w:val="628D834C"/>
    <w:multiLevelType w:val="singleLevel"/>
    <w:tmpl w:val="628D834C"/>
    <w:lvl w:ilvl="0" w:tentative="0">
      <w:start w:val="1"/>
      <w:numFmt w:val="chineseCounting"/>
      <w:suff w:val="nothing"/>
      <w:lvlText w:val="%1、"/>
      <w:lvlJc w:val="left"/>
      <w:rPr>
        <w:rFonts w:hint="eastAsia"/>
      </w:rPr>
    </w:lvl>
  </w:abstractNum>
  <w:abstractNum w:abstractNumId="11">
    <w:nsid w:val="6B714536"/>
    <w:multiLevelType w:val="singleLevel"/>
    <w:tmpl w:val="6B714536"/>
    <w:lvl w:ilvl="0" w:tentative="0">
      <w:start w:val="1"/>
      <w:numFmt w:val="decimal"/>
      <w:lvlText w:val="%1."/>
      <w:lvlJc w:val="left"/>
      <w:pPr>
        <w:tabs>
          <w:tab w:val="left" w:pos="312"/>
        </w:tabs>
      </w:pPr>
    </w:lvl>
  </w:abstractNum>
  <w:num w:numId="1">
    <w:abstractNumId w:val="8"/>
  </w:num>
  <w:num w:numId="2">
    <w:abstractNumId w:val="2"/>
  </w:num>
  <w:num w:numId="3">
    <w:abstractNumId w:val="6"/>
  </w:num>
  <w:num w:numId="4">
    <w:abstractNumId w:val="4"/>
  </w:num>
  <w:num w:numId="5">
    <w:abstractNumId w:val="1"/>
  </w:num>
  <w:num w:numId="6">
    <w:abstractNumId w:val="5"/>
  </w:num>
  <w:num w:numId="7">
    <w:abstractNumId w:val="10"/>
  </w:num>
  <w:num w:numId="8">
    <w:abstractNumId w:val="0"/>
  </w:num>
  <w:num w:numId="9">
    <w:abstractNumId w:val="9"/>
  </w:num>
  <w:num w:numId="10">
    <w:abstractNumId w:val="3"/>
    <w:lvlOverride w:ilvl="0">
      <w:startOverride w:val="1"/>
    </w:lvlOverride>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gutterAtTop/>
  <w:documentProtection w:enforcement="0"/>
  <w:defaultTabStop w:val="0"/>
  <w:drawingGridHorizontalSpacing w:val="105"/>
  <w:drawingGridVerticalSpacing w:val="156"/>
  <w:displayHorizontalDrawingGridEvery w:val="1"/>
  <w:displayVerticalDrawingGridEvery w:val="1"/>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MWMyMzBjOTVhMGE4OGFkZmVhNjg3NmUwYjYyYWEifQ=="/>
  </w:docVars>
  <w:rsids>
    <w:rsidRoot w:val="00172A27"/>
    <w:rsid w:val="00003010"/>
    <w:rsid w:val="00004FA6"/>
    <w:rsid w:val="0002117A"/>
    <w:rsid w:val="00024F9F"/>
    <w:rsid w:val="00027BAC"/>
    <w:rsid w:val="0004419F"/>
    <w:rsid w:val="000517E8"/>
    <w:rsid w:val="000707B9"/>
    <w:rsid w:val="0007133E"/>
    <w:rsid w:val="0007668C"/>
    <w:rsid w:val="00081024"/>
    <w:rsid w:val="00081748"/>
    <w:rsid w:val="001112DC"/>
    <w:rsid w:val="001714AF"/>
    <w:rsid w:val="00172A27"/>
    <w:rsid w:val="00176DA9"/>
    <w:rsid w:val="00180245"/>
    <w:rsid w:val="00186914"/>
    <w:rsid w:val="001A0B6B"/>
    <w:rsid w:val="001C7C0C"/>
    <w:rsid w:val="001E7D74"/>
    <w:rsid w:val="00212050"/>
    <w:rsid w:val="00220E43"/>
    <w:rsid w:val="0022349F"/>
    <w:rsid w:val="002252F1"/>
    <w:rsid w:val="00262182"/>
    <w:rsid w:val="002E1271"/>
    <w:rsid w:val="002E1F6F"/>
    <w:rsid w:val="002F0E34"/>
    <w:rsid w:val="002F26BB"/>
    <w:rsid w:val="002F774A"/>
    <w:rsid w:val="00325703"/>
    <w:rsid w:val="00375832"/>
    <w:rsid w:val="003828FD"/>
    <w:rsid w:val="003A101E"/>
    <w:rsid w:val="003E56A7"/>
    <w:rsid w:val="003F2B99"/>
    <w:rsid w:val="003F2DA8"/>
    <w:rsid w:val="00407F3B"/>
    <w:rsid w:val="00412673"/>
    <w:rsid w:val="00416753"/>
    <w:rsid w:val="00422238"/>
    <w:rsid w:val="004256D4"/>
    <w:rsid w:val="00425899"/>
    <w:rsid w:val="00436A89"/>
    <w:rsid w:val="004439C3"/>
    <w:rsid w:val="004473FA"/>
    <w:rsid w:val="004608C9"/>
    <w:rsid w:val="00482BA3"/>
    <w:rsid w:val="00487F23"/>
    <w:rsid w:val="00490713"/>
    <w:rsid w:val="004C0D7D"/>
    <w:rsid w:val="004F32B7"/>
    <w:rsid w:val="00523EB0"/>
    <w:rsid w:val="00544704"/>
    <w:rsid w:val="00587471"/>
    <w:rsid w:val="005942E8"/>
    <w:rsid w:val="00597511"/>
    <w:rsid w:val="005B25DE"/>
    <w:rsid w:val="005B565B"/>
    <w:rsid w:val="005B6BD9"/>
    <w:rsid w:val="005E2CB4"/>
    <w:rsid w:val="006003B8"/>
    <w:rsid w:val="0062092B"/>
    <w:rsid w:val="00630D89"/>
    <w:rsid w:val="0066753F"/>
    <w:rsid w:val="00675FE7"/>
    <w:rsid w:val="00690904"/>
    <w:rsid w:val="00696616"/>
    <w:rsid w:val="006C3EA1"/>
    <w:rsid w:val="006C607C"/>
    <w:rsid w:val="006D0228"/>
    <w:rsid w:val="006D1A70"/>
    <w:rsid w:val="006D2DD7"/>
    <w:rsid w:val="006E1050"/>
    <w:rsid w:val="00703ED0"/>
    <w:rsid w:val="00722F8A"/>
    <w:rsid w:val="00747F1F"/>
    <w:rsid w:val="007562B1"/>
    <w:rsid w:val="00756CAC"/>
    <w:rsid w:val="00767183"/>
    <w:rsid w:val="007755F8"/>
    <w:rsid w:val="007772C4"/>
    <w:rsid w:val="0078398B"/>
    <w:rsid w:val="00785A02"/>
    <w:rsid w:val="00787D96"/>
    <w:rsid w:val="007A5BB8"/>
    <w:rsid w:val="007B0B31"/>
    <w:rsid w:val="007C0B52"/>
    <w:rsid w:val="007D6ADB"/>
    <w:rsid w:val="007F2087"/>
    <w:rsid w:val="007F21A6"/>
    <w:rsid w:val="00804B4F"/>
    <w:rsid w:val="00807878"/>
    <w:rsid w:val="00855BA6"/>
    <w:rsid w:val="00864B7A"/>
    <w:rsid w:val="008923CB"/>
    <w:rsid w:val="008924BF"/>
    <w:rsid w:val="0089271A"/>
    <w:rsid w:val="008B7ECE"/>
    <w:rsid w:val="008C3E1E"/>
    <w:rsid w:val="008D06C7"/>
    <w:rsid w:val="008E0DC5"/>
    <w:rsid w:val="008E126B"/>
    <w:rsid w:val="00905652"/>
    <w:rsid w:val="00964B52"/>
    <w:rsid w:val="00971912"/>
    <w:rsid w:val="00975759"/>
    <w:rsid w:val="00990A50"/>
    <w:rsid w:val="00990EE8"/>
    <w:rsid w:val="009E06AF"/>
    <w:rsid w:val="009F617E"/>
    <w:rsid w:val="00A3172E"/>
    <w:rsid w:val="00A355B1"/>
    <w:rsid w:val="00A4311B"/>
    <w:rsid w:val="00A47826"/>
    <w:rsid w:val="00A55FA1"/>
    <w:rsid w:val="00A67803"/>
    <w:rsid w:val="00A80A30"/>
    <w:rsid w:val="00A9265A"/>
    <w:rsid w:val="00AA487E"/>
    <w:rsid w:val="00AB0073"/>
    <w:rsid w:val="00AE0858"/>
    <w:rsid w:val="00AE1D8D"/>
    <w:rsid w:val="00AE648A"/>
    <w:rsid w:val="00AF0D7B"/>
    <w:rsid w:val="00B018AB"/>
    <w:rsid w:val="00B0641D"/>
    <w:rsid w:val="00B121AF"/>
    <w:rsid w:val="00B531A8"/>
    <w:rsid w:val="00B53EFB"/>
    <w:rsid w:val="00B64D58"/>
    <w:rsid w:val="00B74D4D"/>
    <w:rsid w:val="00BA1A55"/>
    <w:rsid w:val="00BD7BC8"/>
    <w:rsid w:val="00C278DA"/>
    <w:rsid w:val="00C31061"/>
    <w:rsid w:val="00C502E2"/>
    <w:rsid w:val="00C5790F"/>
    <w:rsid w:val="00C708B1"/>
    <w:rsid w:val="00C73844"/>
    <w:rsid w:val="00CB4087"/>
    <w:rsid w:val="00CB426F"/>
    <w:rsid w:val="00CC6EB2"/>
    <w:rsid w:val="00CD3536"/>
    <w:rsid w:val="00CD6FE2"/>
    <w:rsid w:val="00D05114"/>
    <w:rsid w:val="00D07DCE"/>
    <w:rsid w:val="00D1359A"/>
    <w:rsid w:val="00D328A7"/>
    <w:rsid w:val="00D34A19"/>
    <w:rsid w:val="00D5659E"/>
    <w:rsid w:val="00D5711A"/>
    <w:rsid w:val="00D82B85"/>
    <w:rsid w:val="00DA1A2F"/>
    <w:rsid w:val="00DA26EF"/>
    <w:rsid w:val="00DB268C"/>
    <w:rsid w:val="00DB5D7B"/>
    <w:rsid w:val="00DE4537"/>
    <w:rsid w:val="00E15DEC"/>
    <w:rsid w:val="00E16A5E"/>
    <w:rsid w:val="00E335F7"/>
    <w:rsid w:val="00E45175"/>
    <w:rsid w:val="00E512D5"/>
    <w:rsid w:val="00E5783F"/>
    <w:rsid w:val="00E6126C"/>
    <w:rsid w:val="00E674E1"/>
    <w:rsid w:val="00EA3D71"/>
    <w:rsid w:val="00EB71E5"/>
    <w:rsid w:val="00EB73E9"/>
    <w:rsid w:val="00EC2768"/>
    <w:rsid w:val="00ED7A53"/>
    <w:rsid w:val="00F06680"/>
    <w:rsid w:val="00F50BFB"/>
    <w:rsid w:val="00F97CD7"/>
    <w:rsid w:val="00FA5142"/>
    <w:rsid w:val="00FC256B"/>
    <w:rsid w:val="00FD26A6"/>
    <w:rsid w:val="00FD2C2E"/>
    <w:rsid w:val="00FD3E32"/>
    <w:rsid w:val="00FD5268"/>
    <w:rsid w:val="00FE28DE"/>
    <w:rsid w:val="010351AA"/>
    <w:rsid w:val="010844A0"/>
    <w:rsid w:val="010E6E5B"/>
    <w:rsid w:val="011C69E0"/>
    <w:rsid w:val="012372B6"/>
    <w:rsid w:val="01255120"/>
    <w:rsid w:val="012D2227"/>
    <w:rsid w:val="013D0EC5"/>
    <w:rsid w:val="013F3E7F"/>
    <w:rsid w:val="014A4B87"/>
    <w:rsid w:val="0154610F"/>
    <w:rsid w:val="015679D0"/>
    <w:rsid w:val="01586EBF"/>
    <w:rsid w:val="015D7AE7"/>
    <w:rsid w:val="01642E6D"/>
    <w:rsid w:val="0167398B"/>
    <w:rsid w:val="01687703"/>
    <w:rsid w:val="0176160E"/>
    <w:rsid w:val="017629DB"/>
    <w:rsid w:val="017B7981"/>
    <w:rsid w:val="018337D5"/>
    <w:rsid w:val="018C7AAC"/>
    <w:rsid w:val="018F4C90"/>
    <w:rsid w:val="019127B6"/>
    <w:rsid w:val="019174CA"/>
    <w:rsid w:val="019422A6"/>
    <w:rsid w:val="01944054"/>
    <w:rsid w:val="019E4B71"/>
    <w:rsid w:val="01BB5A85"/>
    <w:rsid w:val="01C1187E"/>
    <w:rsid w:val="01D17A2D"/>
    <w:rsid w:val="01D408F4"/>
    <w:rsid w:val="01EB45BC"/>
    <w:rsid w:val="01EC2343"/>
    <w:rsid w:val="01EE6F9F"/>
    <w:rsid w:val="01F87335"/>
    <w:rsid w:val="01FD27E2"/>
    <w:rsid w:val="02076F1C"/>
    <w:rsid w:val="021A2ECA"/>
    <w:rsid w:val="021B4775"/>
    <w:rsid w:val="02214572"/>
    <w:rsid w:val="02217868"/>
    <w:rsid w:val="02251150"/>
    <w:rsid w:val="022526E7"/>
    <w:rsid w:val="023805D9"/>
    <w:rsid w:val="024141D2"/>
    <w:rsid w:val="02514F37"/>
    <w:rsid w:val="02517D0C"/>
    <w:rsid w:val="02530E33"/>
    <w:rsid w:val="025739FF"/>
    <w:rsid w:val="025B3CCB"/>
    <w:rsid w:val="026B2A2B"/>
    <w:rsid w:val="027C5214"/>
    <w:rsid w:val="029426A4"/>
    <w:rsid w:val="02A12ECC"/>
    <w:rsid w:val="02AD361F"/>
    <w:rsid w:val="02B171AF"/>
    <w:rsid w:val="02BE4866"/>
    <w:rsid w:val="02CC6F09"/>
    <w:rsid w:val="02D45050"/>
    <w:rsid w:val="02DB00EF"/>
    <w:rsid w:val="02DE7D0E"/>
    <w:rsid w:val="02DF39F5"/>
    <w:rsid w:val="02EA4873"/>
    <w:rsid w:val="02F337DF"/>
    <w:rsid w:val="02FC440F"/>
    <w:rsid w:val="02FF3416"/>
    <w:rsid w:val="031F2043"/>
    <w:rsid w:val="032536DD"/>
    <w:rsid w:val="03294955"/>
    <w:rsid w:val="033351E4"/>
    <w:rsid w:val="03490A69"/>
    <w:rsid w:val="03555A65"/>
    <w:rsid w:val="035A360D"/>
    <w:rsid w:val="038A7E04"/>
    <w:rsid w:val="038D3451"/>
    <w:rsid w:val="038D4021"/>
    <w:rsid w:val="03A8028B"/>
    <w:rsid w:val="03AF263E"/>
    <w:rsid w:val="03B4163E"/>
    <w:rsid w:val="03C72170"/>
    <w:rsid w:val="03C9121C"/>
    <w:rsid w:val="03E77005"/>
    <w:rsid w:val="03EA7336"/>
    <w:rsid w:val="03F05867"/>
    <w:rsid w:val="03FC346F"/>
    <w:rsid w:val="04025BED"/>
    <w:rsid w:val="04051239"/>
    <w:rsid w:val="040F20B8"/>
    <w:rsid w:val="041C2064"/>
    <w:rsid w:val="04255D31"/>
    <w:rsid w:val="04275653"/>
    <w:rsid w:val="042C13C4"/>
    <w:rsid w:val="04372600"/>
    <w:rsid w:val="043E7DFE"/>
    <w:rsid w:val="04446205"/>
    <w:rsid w:val="04504393"/>
    <w:rsid w:val="045B34B9"/>
    <w:rsid w:val="045C354F"/>
    <w:rsid w:val="045E6E66"/>
    <w:rsid w:val="0477031F"/>
    <w:rsid w:val="04770389"/>
    <w:rsid w:val="047C1808"/>
    <w:rsid w:val="047E0EA7"/>
    <w:rsid w:val="048115F1"/>
    <w:rsid w:val="048C38E4"/>
    <w:rsid w:val="049A3A99"/>
    <w:rsid w:val="04A63DE5"/>
    <w:rsid w:val="04C169A1"/>
    <w:rsid w:val="04C80BE4"/>
    <w:rsid w:val="04D779DF"/>
    <w:rsid w:val="04DE7E93"/>
    <w:rsid w:val="04E81C32"/>
    <w:rsid w:val="0504479F"/>
    <w:rsid w:val="052B4CCF"/>
    <w:rsid w:val="0534627A"/>
    <w:rsid w:val="053A1738"/>
    <w:rsid w:val="05586255"/>
    <w:rsid w:val="055955A4"/>
    <w:rsid w:val="05717247"/>
    <w:rsid w:val="057523EE"/>
    <w:rsid w:val="057A73F0"/>
    <w:rsid w:val="05883ED0"/>
    <w:rsid w:val="05940AC6"/>
    <w:rsid w:val="05A8737F"/>
    <w:rsid w:val="05AA4DCE"/>
    <w:rsid w:val="05AB7BBE"/>
    <w:rsid w:val="05BC4EB0"/>
    <w:rsid w:val="05CA273A"/>
    <w:rsid w:val="05CC256A"/>
    <w:rsid w:val="05F54082"/>
    <w:rsid w:val="05F63A97"/>
    <w:rsid w:val="0605235F"/>
    <w:rsid w:val="06314D88"/>
    <w:rsid w:val="06481E0F"/>
    <w:rsid w:val="06526424"/>
    <w:rsid w:val="06695AAF"/>
    <w:rsid w:val="067C336B"/>
    <w:rsid w:val="067D59FE"/>
    <w:rsid w:val="067F6FD8"/>
    <w:rsid w:val="068F0127"/>
    <w:rsid w:val="06973CA5"/>
    <w:rsid w:val="06A05249"/>
    <w:rsid w:val="06AD4053"/>
    <w:rsid w:val="06BC454B"/>
    <w:rsid w:val="06DA4BFF"/>
    <w:rsid w:val="06DE46EF"/>
    <w:rsid w:val="070677A2"/>
    <w:rsid w:val="070A082B"/>
    <w:rsid w:val="071A5AAD"/>
    <w:rsid w:val="07230354"/>
    <w:rsid w:val="07361FDA"/>
    <w:rsid w:val="074A39E3"/>
    <w:rsid w:val="074E239C"/>
    <w:rsid w:val="074F1132"/>
    <w:rsid w:val="0774295E"/>
    <w:rsid w:val="077A0D2D"/>
    <w:rsid w:val="07827033"/>
    <w:rsid w:val="078D1C71"/>
    <w:rsid w:val="078F14A4"/>
    <w:rsid w:val="07AD2321"/>
    <w:rsid w:val="07B8778D"/>
    <w:rsid w:val="07BD77BF"/>
    <w:rsid w:val="07C75183"/>
    <w:rsid w:val="07CC21FA"/>
    <w:rsid w:val="07DF0538"/>
    <w:rsid w:val="07EC2CCE"/>
    <w:rsid w:val="07EF6488"/>
    <w:rsid w:val="07F12200"/>
    <w:rsid w:val="07F95559"/>
    <w:rsid w:val="07FA2981"/>
    <w:rsid w:val="07FF3A37"/>
    <w:rsid w:val="08017F69"/>
    <w:rsid w:val="08093DC1"/>
    <w:rsid w:val="080A641A"/>
    <w:rsid w:val="080F222E"/>
    <w:rsid w:val="081618CD"/>
    <w:rsid w:val="08167EB9"/>
    <w:rsid w:val="081B102B"/>
    <w:rsid w:val="08253E2B"/>
    <w:rsid w:val="082C1F58"/>
    <w:rsid w:val="083B288D"/>
    <w:rsid w:val="0844673D"/>
    <w:rsid w:val="08591B53"/>
    <w:rsid w:val="086416FF"/>
    <w:rsid w:val="08646A72"/>
    <w:rsid w:val="0869448C"/>
    <w:rsid w:val="086B4707"/>
    <w:rsid w:val="0878647D"/>
    <w:rsid w:val="0897231F"/>
    <w:rsid w:val="08AF3E2A"/>
    <w:rsid w:val="08BB4E7E"/>
    <w:rsid w:val="08BB6834"/>
    <w:rsid w:val="08BC1FF9"/>
    <w:rsid w:val="08C85B55"/>
    <w:rsid w:val="08CE42EF"/>
    <w:rsid w:val="08E471D6"/>
    <w:rsid w:val="08EC107E"/>
    <w:rsid w:val="08EE5688"/>
    <w:rsid w:val="08EE6740"/>
    <w:rsid w:val="09041335"/>
    <w:rsid w:val="090F326A"/>
    <w:rsid w:val="09175C96"/>
    <w:rsid w:val="091C5792"/>
    <w:rsid w:val="09426AF8"/>
    <w:rsid w:val="094F7B6E"/>
    <w:rsid w:val="09555924"/>
    <w:rsid w:val="095C7B36"/>
    <w:rsid w:val="09664528"/>
    <w:rsid w:val="096B4234"/>
    <w:rsid w:val="096D58B6"/>
    <w:rsid w:val="096E0D9A"/>
    <w:rsid w:val="09783E60"/>
    <w:rsid w:val="09890E4E"/>
    <w:rsid w:val="09935DBE"/>
    <w:rsid w:val="09A60DC8"/>
    <w:rsid w:val="09B24FD5"/>
    <w:rsid w:val="09B84373"/>
    <w:rsid w:val="09BC3705"/>
    <w:rsid w:val="09BD19A3"/>
    <w:rsid w:val="09C83435"/>
    <w:rsid w:val="09D04DAF"/>
    <w:rsid w:val="09D628B0"/>
    <w:rsid w:val="09D752AA"/>
    <w:rsid w:val="09DA3A9D"/>
    <w:rsid w:val="09DC2A3C"/>
    <w:rsid w:val="09E470E0"/>
    <w:rsid w:val="09EB6064"/>
    <w:rsid w:val="09F879EC"/>
    <w:rsid w:val="0A0143A4"/>
    <w:rsid w:val="0A042070"/>
    <w:rsid w:val="0A0C657E"/>
    <w:rsid w:val="0A0D4AE6"/>
    <w:rsid w:val="0A162665"/>
    <w:rsid w:val="0A1E4E03"/>
    <w:rsid w:val="0A24119A"/>
    <w:rsid w:val="0A256191"/>
    <w:rsid w:val="0A4454F0"/>
    <w:rsid w:val="0A4A40EA"/>
    <w:rsid w:val="0A4E2999"/>
    <w:rsid w:val="0A574413"/>
    <w:rsid w:val="0A586566"/>
    <w:rsid w:val="0A60541B"/>
    <w:rsid w:val="0A651C3A"/>
    <w:rsid w:val="0A726054"/>
    <w:rsid w:val="0A745C39"/>
    <w:rsid w:val="0A75799E"/>
    <w:rsid w:val="0A757EEE"/>
    <w:rsid w:val="0A764C3F"/>
    <w:rsid w:val="0A777DD3"/>
    <w:rsid w:val="0A79028B"/>
    <w:rsid w:val="0A82405D"/>
    <w:rsid w:val="0A864CE3"/>
    <w:rsid w:val="0A954F92"/>
    <w:rsid w:val="0AA37AF1"/>
    <w:rsid w:val="0AAE6186"/>
    <w:rsid w:val="0AB57F00"/>
    <w:rsid w:val="0AE43924"/>
    <w:rsid w:val="0B01707B"/>
    <w:rsid w:val="0B036AFA"/>
    <w:rsid w:val="0B153803"/>
    <w:rsid w:val="0B1A4380"/>
    <w:rsid w:val="0B360E71"/>
    <w:rsid w:val="0B3A252A"/>
    <w:rsid w:val="0B3A3EBE"/>
    <w:rsid w:val="0B3B6C4C"/>
    <w:rsid w:val="0B4F2B37"/>
    <w:rsid w:val="0B4F2BCC"/>
    <w:rsid w:val="0B4F505C"/>
    <w:rsid w:val="0B5605CC"/>
    <w:rsid w:val="0B57681E"/>
    <w:rsid w:val="0B6A0391"/>
    <w:rsid w:val="0B700260"/>
    <w:rsid w:val="0B704579"/>
    <w:rsid w:val="0B722AD3"/>
    <w:rsid w:val="0B751417"/>
    <w:rsid w:val="0B7F7DD5"/>
    <w:rsid w:val="0B81780B"/>
    <w:rsid w:val="0B884C29"/>
    <w:rsid w:val="0BA0712F"/>
    <w:rsid w:val="0BA53A2D"/>
    <w:rsid w:val="0BB427FC"/>
    <w:rsid w:val="0BCA11E2"/>
    <w:rsid w:val="0BDE45DF"/>
    <w:rsid w:val="0BDF6813"/>
    <w:rsid w:val="0BED7182"/>
    <w:rsid w:val="0BF30FFB"/>
    <w:rsid w:val="0BFC1173"/>
    <w:rsid w:val="0C0B4A1D"/>
    <w:rsid w:val="0C142961"/>
    <w:rsid w:val="0C1666D9"/>
    <w:rsid w:val="0C197F77"/>
    <w:rsid w:val="0C1A040F"/>
    <w:rsid w:val="0C22650E"/>
    <w:rsid w:val="0C417161"/>
    <w:rsid w:val="0C4C3C90"/>
    <w:rsid w:val="0C5812D8"/>
    <w:rsid w:val="0C6C454B"/>
    <w:rsid w:val="0C7A37B4"/>
    <w:rsid w:val="0C7E427E"/>
    <w:rsid w:val="0C8175E5"/>
    <w:rsid w:val="0C9332AE"/>
    <w:rsid w:val="0C9443E9"/>
    <w:rsid w:val="0C9475FE"/>
    <w:rsid w:val="0CAB613E"/>
    <w:rsid w:val="0CBE1422"/>
    <w:rsid w:val="0CC25CA1"/>
    <w:rsid w:val="0CC431C0"/>
    <w:rsid w:val="0CC46135"/>
    <w:rsid w:val="0CD90AD5"/>
    <w:rsid w:val="0CDA7707"/>
    <w:rsid w:val="0CF0477C"/>
    <w:rsid w:val="0CF86E12"/>
    <w:rsid w:val="0D01330D"/>
    <w:rsid w:val="0D0B3D64"/>
    <w:rsid w:val="0D126C88"/>
    <w:rsid w:val="0D1C040D"/>
    <w:rsid w:val="0D1D75F3"/>
    <w:rsid w:val="0D1D7F13"/>
    <w:rsid w:val="0D1F6FFA"/>
    <w:rsid w:val="0D2579AC"/>
    <w:rsid w:val="0D2758D8"/>
    <w:rsid w:val="0D372A71"/>
    <w:rsid w:val="0D3D37F2"/>
    <w:rsid w:val="0D456722"/>
    <w:rsid w:val="0D4A5F0F"/>
    <w:rsid w:val="0D4C2783"/>
    <w:rsid w:val="0D562B05"/>
    <w:rsid w:val="0D5769CA"/>
    <w:rsid w:val="0D5C45C0"/>
    <w:rsid w:val="0D6B035F"/>
    <w:rsid w:val="0D884B16"/>
    <w:rsid w:val="0D896A37"/>
    <w:rsid w:val="0D8E6743"/>
    <w:rsid w:val="0DAD6BC9"/>
    <w:rsid w:val="0DB22432"/>
    <w:rsid w:val="0DB25F8E"/>
    <w:rsid w:val="0DCF095A"/>
    <w:rsid w:val="0DE14C6B"/>
    <w:rsid w:val="0DF02F5A"/>
    <w:rsid w:val="0E014057"/>
    <w:rsid w:val="0E1A3B33"/>
    <w:rsid w:val="0E1F3D16"/>
    <w:rsid w:val="0E1F739B"/>
    <w:rsid w:val="0E2C0368"/>
    <w:rsid w:val="0E375FE0"/>
    <w:rsid w:val="0E4311B9"/>
    <w:rsid w:val="0E4C3AB7"/>
    <w:rsid w:val="0E4E2A44"/>
    <w:rsid w:val="0E5139F9"/>
    <w:rsid w:val="0E5434E9"/>
    <w:rsid w:val="0E557CEE"/>
    <w:rsid w:val="0E5A6B87"/>
    <w:rsid w:val="0E67321C"/>
    <w:rsid w:val="0E682AF0"/>
    <w:rsid w:val="0E7B0BBC"/>
    <w:rsid w:val="0E8B67DF"/>
    <w:rsid w:val="0E8C4A31"/>
    <w:rsid w:val="0EA25CE2"/>
    <w:rsid w:val="0EA578A0"/>
    <w:rsid w:val="0EA77ABC"/>
    <w:rsid w:val="0EA855E3"/>
    <w:rsid w:val="0EAF071F"/>
    <w:rsid w:val="0EBA4716"/>
    <w:rsid w:val="0EC5469E"/>
    <w:rsid w:val="0EC57F43"/>
    <w:rsid w:val="0ECA035A"/>
    <w:rsid w:val="0EEB7BE7"/>
    <w:rsid w:val="0F056591"/>
    <w:rsid w:val="0F07649B"/>
    <w:rsid w:val="0F135841"/>
    <w:rsid w:val="0F1A371D"/>
    <w:rsid w:val="0F1D7D7F"/>
    <w:rsid w:val="0F392885"/>
    <w:rsid w:val="0F3A7F49"/>
    <w:rsid w:val="0F44355D"/>
    <w:rsid w:val="0F5B47D7"/>
    <w:rsid w:val="0F696B20"/>
    <w:rsid w:val="0F6A6131"/>
    <w:rsid w:val="0F766991"/>
    <w:rsid w:val="0F8971C2"/>
    <w:rsid w:val="0F8D59C0"/>
    <w:rsid w:val="0F910DA5"/>
    <w:rsid w:val="0FA13CA1"/>
    <w:rsid w:val="0FA3308D"/>
    <w:rsid w:val="0FAF0160"/>
    <w:rsid w:val="0FBA75E9"/>
    <w:rsid w:val="0FD0608E"/>
    <w:rsid w:val="0FDC2AB5"/>
    <w:rsid w:val="0FDF2726"/>
    <w:rsid w:val="0FDF2F6F"/>
    <w:rsid w:val="100312BD"/>
    <w:rsid w:val="10176452"/>
    <w:rsid w:val="1018595C"/>
    <w:rsid w:val="101A2494"/>
    <w:rsid w:val="1024021F"/>
    <w:rsid w:val="103C719D"/>
    <w:rsid w:val="10417A9D"/>
    <w:rsid w:val="10480E2B"/>
    <w:rsid w:val="105902D4"/>
    <w:rsid w:val="105F7F23"/>
    <w:rsid w:val="10685029"/>
    <w:rsid w:val="10703625"/>
    <w:rsid w:val="10725EA8"/>
    <w:rsid w:val="107F763D"/>
    <w:rsid w:val="10B63FE7"/>
    <w:rsid w:val="10BB3088"/>
    <w:rsid w:val="10D149F2"/>
    <w:rsid w:val="10D3626D"/>
    <w:rsid w:val="10D75D0B"/>
    <w:rsid w:val="10D80401"/>
    <w:rsid w:val="10E74E11"/>
    <w:rsid w:val="110C75FC"/>
    <w:rsid w:val="11164A85"/>
    <w:rsid w:val="11292A0B"/>
    <w:rsid w:val="112A22DF"/>
    <w:rsid w:val="112E549E"/>
    <w:rsid w:val="11376CC6"/>
    <w:rsid w:val="11397C34"/>
    <w:rsid w:val="114964E2"/>
    <w:rsid w:val="114F4F37"/>
    <w:rsid w:val="1151057B"/>
    <w:rsid w:val="115157B7"/>
    <w:rsid w:val="115A7068"/>
    <w:rsid w:val="117110F9"/>
    <w:rsid w:val="11724377"/>
    <w:rsid w:val="117B5CBE"/>
    <w:rsid w:val="117C13DA"/>
    <w:rsid w:val="118E286E"/>
    <w:rsid w:val="119A7465"/>
    <w:rsid w:val="11B66648"/>
    <w:rsid w:val="11B76611"/>
    <w:rsid w:val="11BB73DB"/>
    <w:rsid w:val="11BF511D"/>
    <w:rsid w:val="11C36EC0"/>
    <w:rsid w:val="11C80C85"/>
    <w:rsid w:val="11D05A7B"/>
    <w:rsid w:val="11D17DAE"/>
    <w:rsid w:val="11EA4828"/>
    <w:rsid w:val="11EC586F"/>
    <w:rsid w:val="11EF2158"/>
    <w:rsid w:val="11F30E80"/>
    <w:rsid w:val="11F74256"/>
    <w:rsid w:val="11FA7F03"/>
    <w:rsid w:val="12093EDD"/>
    <w:rsid w:val="120B3D4E"/>
    <w:rsid w:val="12154D3D"/>
    <w:rsid w:val="12483B95"/>
    <w:rsid w:val="124B4C03"/>
    <w:rsid w:val="126259DF"/>
    <w:rsid w:val="1270200D"/>
    <w:rsid w:val="12704669"/>
    <w:rsid w:val="127D495B"/>
    <w:rsid w:val="12867754"/>
    <w:rsid w:val="129E7ECB"/>
    <w:rsid w:val="12A14A7D"/>
    <w:rsid w:val="12A367ED"/>
    <w:rsid w:val="12AB1C0F"/>
    <w:rsid w:val="12AE4BFB"/>
    <w:rsid w:val="12B3194D"/>
    <w:rsid w:val="12B43892"/>
    <w:rsid w:val="12CF1390"/>
    <w:rsid w:val="12E60488"/>
    <w:rsid w:val="12FE6A1B"/>
    <w:rsid w:val="130059ED"/>
    <w:rsid w:val="13114598"/>
    <w:rsid w:val="13315BA7"/>
    <w:rsid w:val="133236CD"/>
    <w:rsid w:val="13334D9E"/>
    <w:rsid w:val="13394A5B"/>
    <w:rsid w:val="133B4C77"/>
    <w:rsid w:val="13414B87"/>
    <w:rsid w:val="13421B62"/>
    <w:rsid w:val="13431153"/>
    <w:rsid w:val="134822C1"/>
    <w:rsid w:val="134A2632"/>
    <w:rsid w:val="135B31AB"/>
    <w:rsid w:val="13734411"/>
    <w:rsid w:val="137A2B18"/>
    <w:rsid w:val="13AE71F7"/>
    <w:rsid w:val="13B53826"/>
    <w:rsid w:val="13BE179A"/>
    <w:rsid w:val="13D35ADA"/>
    <w:rsid w:val="13D453A4"/>
    <w:rsid w:val="13D52569"/>
    <w:rsid w:val="13F07E2A"/>
    <w:rsid w:val="13F56BD4"/>
    <w:rsid w:val="13FA1FBF"/>
    <w:rsid w:val="13FA777B"/>
    <w:rsid w:val="141F1EA3"/>
    <w:rsid w:val="14220BDE"/>
    <w:rsid w:val="14223741"/>
    <w:rsid w:val="142958C5"/>
    <w:rsid w:val="142F1C9D"/>
    <w:rsid w:val="143811B7"/>
    <w:rsid w:val="14397409"/>
    <w:rsid w:val="14411A7F"/>
    <w:rsid w:val="145F04F1"/>
    <w:rsid w:val="146D1CF0"/>
    <w:rsid w:val="14832432"/>
    <w:rsid w:val="148A7C64"/>
    <w:rsid w:val="148B28E3"/>
    <w:rsid w:val="1490437C"/>
    <w:rsid w:val="149C7998"/>
    <w:rsid w:val="14A16D5C"/>
    <w:rsid w:val="14BA24A4"/>
    <w:rsid w:val="14C1443A"/>
    <w:rsid w:val="14CB7C9E"/>
    <w:rsid w:val="14D64C58"/>
    <w:rsid w:val="14DF5219"/>
    <w:rsid w:val="14E0189F"/>
    <w:rsid w:val="14E34B03"/>
    <w:rsid w:val="14E36657"/>
    <w:rsid w:val="14EC2D78"/>
    <w:rsid w:val="14ED1C89"/>
    <w:rsid w:val="14F27424"/>
    <w:rsid w:val="14F60FB2"/>
    <w:rsid w:val="14F72137"/>
    <w:rsid w:val="14FF32E1"/>
    <w:rsid w:val="150561C0"/>
    <w:rsid w:val="150744F2"/>
    <w:rsid w:val="150C01D6"/>
    <w:rsid w:val="15141AF0"/>
    <w:rsid w:val="151B6B0E"/>
    <w:rsid w:val="151C0DF5"/>
    <w:rsid w:val="15224C71"/>
    <w:rsid w:val="153320AA"/>
    <w:rsid w:val="154F1FC4"/>
    <w:rsid w:val="1554502F"/>
    <w:rsid w:val="155E0763"/>
    <w:rsid w:val="156C38BD"/>
    <w:rsid w:val="157C35F5"/>
    <w:rsid w:val="159846C7"/>
    <w:rsid w:val="15995C85"/>
    <w:rsid w:val="159C3890"/>
    <w:rsid w:val="15A5287C"/>
    <w:rsid w:val="15B03EDB"/>
    <w:rsid w:val="15CD0500"/>
    <w:rsid w:val="15D72E92"/>
    <w:rsid w:val="15DA0777"/>
    <w:rsid w:val="15F763EC"/>
    <w:rsid w:val="15F82B87"/>
    <w:rsid w:val="15FE067A"/>
    <w:rsid w:val="16032AED"/>
    <w:rsid w:val="16094480"/>
    <w:rsid w:val="160B4B97"/>
    <w:rsid w:val="16175528"/>
    <w:rsid w:val="161B669A"/>
    <w:rsid w:val="161B7E70"/>
    <w:rsid w:val="162F2ABB"/>
    <w:rsid w:val="163F35F3"/>
    <w:rsid w:val="16465E0D"/>
    <w:rsid w:val="164B7ED3"/>
    <w:rsid w:val="16502059"/>
    <w:rsid w:val="16585CEC"/>
    <w:rsid w:val="165B2F3A"/>
    <w:rsid w:val="16701D1D"/>
    <w:rsid w:val="16704C38"/>
    <w:rsid w:val="16781D3E"/>
    <w:rsid w:val="167C68B9"/>
    <w:rsid w:val="168E1562"/>
    <w:rsid w:val="169500F5"/>
    <w:rsid w:val="169A73F2"/>
    <w:rsid w:val="16A6065A"/>
    <w:rsid w:val="16AC674B"/>
    <w:rsid w:val="16C155F9"/>
    <w:rsid w:val="16D57191"/>
    <w:rsid w:val="16D72F09"/>
    <w:rsid w:val="16D90B77"/>
    <w:rsid w:val="16DE7DF3"/>
    <w:rsid w:val="16ED6288"/>
    <w:rsid w:val="16FC64CC"/>
    <w:rsid w:val="17103D25"/>
    <w:rsid w:val="1718756D"/>
    <w:rsid w:val="17214981"/>
    <w:rsid w:val="17253826"/>
    <w:rsid w:val="172E3BD4"/>
    <w:rsid w:val="173A2CBA"/>
    <w:rsid w:val="173E61E0"/>
    <w:rsid w:val="174212A2"/>
    <w:rsid w:val="17493BEE"/>
    <w:rsid w:val="17590E35"/>
    <w:rsid w:val="176F4EEF"/>
    <w:rsid w:val="177A2BDC"/>
    <w:rsid w:val="17996E02"/>
    <w:rsid w:val="179A735D"/>
    <w:rsid w:val="179B67A8"/>
    <w:rsid w:val="17A64504"/>
    <w:rsid w:val="17A876BB"/>
    <w:rsid w:val="17B2302E"/>
    <w:rsid w:val="17D411F6"/>
    <w:rsid w:val="17DD62FD"/>
    <w:rsid w:val="17E01949"/>
    <w:rsid w:val="17E07966"/>
    <w:rsid w:val="17E23913"/>
    <w:rsid w:val="17E53404"/>
    <w:rsid w:val="17EC7E07"/>
    <w:rsid w:val="17F453F5"/>
    <w:rsid w:val="17F46219"/>
    <w:rsid w:val="17F673BF"/>
    <w:rsid w:val="18050893"/>
    <w:rsid w:val="18187D49"/>
    <w:rsid w:val="1820714C"/>
    <w:rsid w:val="18310802"/>
    <w:rsid w:val="18323044"/>
    <w:rsid w:val="183323C1"/>
    <w:rsid w:val="18560B31"/>
    <w:rsid w:val="185D5057"/>
    <w:rsid w:val="186955C9"/>
    <w:rsid w:val="186D3AD7"/>
    <w:rsid w:val="186F7E29"/>
    <w:rsid w:val="18834FB6"/>
    <w:rsid w:val="188566EB"/>
    <w:rsid w:val="18873394"/>
    <w:rsid w:val="18934C0E"/>
    <w:rsid w:val="189F4EEF"/>
    <w:rsid w:val="18AF5EEB"/>
    <w:rsid w:val="18B708FC"/>
    <w:rsid w:val="18B84674"/>
    <w:rsid w:val="18C51FF5"/>
    <w:rsid w:val="18CD6371"/>
    <w:rsid w:val="18EA2632"/>
    <w:rsid w:val="18EA6F23"/>
    <w:rsid w:val="18F94F89"/>
    <w:rsid w:val="18FA6A3B"/>
    <w:rsid w:val="19061883"/>
    <w:rsid w:val="19120228"/>
    <w:rsid w:val="191E59E4"/>
    <w:rsid w:val="19284203"/>
    <w:rsid w:val="1928602D"/>
    <w:rsid w:val="192C0F99"/>
    <w:rsid w:val="19333C72"/>
    <w:rsid w:val="193649F8"/>
    <w:rsid w:val="193E542D"/>
    <w:rsid w:val="195A4886"/>
    <w:rsid w:val="195E16BF"/>
    <w:rsid w:val="195F2D42"/>
    <w:rsid w:val="196547FC"/>
    <w:rsid w:val="196577B4"/>
    <w:rsid w:val="19683FBD"/>
    <w:rsid w:val="19853C70"/>
    <w:rsid w:val="199E1ABC"/>
    <w:rsid w:val="19BB3D75"/>
    <w:rsid w:val="19BC7BF9"/>
    <w:rsid w:val="19BD0194"/>
    <w:rsid w:val="19C1349F"/>
    <w:rsid w:val="19C332D1"/>
    <w:rsid w:val="19CA78D1"/>
    <w:rsid w:val="19D6604E"/>
    <w:rsid w:val="19D674A8"/>
    <w:rsid w:val="19E45505"/>
    <w:rsid w:val="19EA2F53"/>
    <w:rsid w:val="19FB2A6A"/>
    <w:rsid w:val="1A02678B"/>
    <w:rsid w:val="1A0B430C"/>
    <w:rsid w:val="1A121E4E"/>
    <w:rsid w:val="1A1B4EBB"/>
    <w:rsid w:val="1A216369"/>
    <w:rsid w:val="1A226249"/>
    <w:rsid w:val="1A262597"/>
    <w:rsid w:val="1A2A3350"/>
    <w:rsid w:val="1A2F1373"/>
    <w:rsid w:val="1A41589E"/>
    <w:rsid w:val="1A4563DB"/>
    <w:rsid w:val="1A475CB0"/>
    <w:rsid w:val="1A554870"/>
    <w:rsid w:val="1A594D9D"/>
    <w:rsid w:val="1A61363A"/>
    <w:rsid w:val="1A6E5932"/>
    <w:rsid w:val="1A78055F"/>
    <w:rsid w:val="1A802411"/>
    <w:rsid w:val="1A8041C4"/>
    <w:rsid w:val="1A89276C"/>
    <w:rsid w:val="1A8B0292"/>
    <w:rsid w:val="1ABF7B24"/>
    <w:rsid w:val="1AC61AD1"/>
    <w:rsid w:val="1AC61D55"/>
    <w:rsid w:val="1AC903C7"/>
    <w:rsid w:val="1ACB68E1"/>
    <w:rsid w:val="1AD5150D"/>
    <w:rsid w:val="1AD842D4"/>
    <w:rsid w:val="1AF75928"/>
    <w:rsid w:val="1B00002A"/>
    <w:rsid w:val="1B223280"/>
    <w:rsid w:val="1B241E81"/>
    <w:rsid w:val="1B24271B"/>
    <w:rsid w:val="1B287B95"/>
    <w:rsid w:val="1B295AA9"/>
    <w:rsid w:val="1B361B6F"/>
    <w:rsid w:val="1B4A1EFB"/>
    <w:rsid w:val="1B593DE6"/>
    <w:rsid w:val="1B5A0D86"/>
    <w:rsid w:val="1B5B1471"/>
    <w:rsid w:val="1B5C1C2F"/>
    <w:rsid w:val="1B741C13"/>
    <w:rsid w:val="1B7A26F4"/>
    <w:rsid w:val="1B7D6FB7"/>
    <w:rsid w:val="1B7F02BB"/>
    <w:rsid w:val="1B860A5A"/>
    <w:rsid w:val="1B93296D"/>
    <w:rsid w:val="1B962164"/>
    <w:rsid w:val="1B9B7E66"/>
    <w:rsid w:val="1B9E5DA3"/>
    <w:rsid w:val="1BA80191"/>
    <w:rsid w:val="1BA8629E"/>
    <w:rsid w:val="1BAC6712"/>
    <w:rsid w:val="1BC31F03"/>
    <w:rsid w:val="1BCC721F"/>
    <w:rsid w:val="1BDD5610"/>
    <w:rsid w:val="1BE14F62"/>
    <w:rsid w:val="1BE834C2"/>
    <w:rsid w:val="1BF516FF"/>
    <w:rsid w:val="1BFE266A"/>
    <w:rsid w:val="1BFE6F5A"/>
    <w:rsid w:val="1C0570D2"/>
    <w:rsid w:val="1C0A5643"/>
    <w:rsid w:val="1C13053F"/>
    <w:rsid w:val="1C1761CE"/>
    <w:rsid w:val="1C192379"/>
    <w:rsid w:val="1C224D12"/>
    <w:rsid w:val="1C33347C"/>
    <w:rsid w:val="1C5B5A42"/>
    <w:rsid w:val="1C690A6A"/>
    <w:rsid w:val="1C6C22C0"/>
    <w:rsid w:val="1C7341C7"/>
    <w:rsid w:val="1C850D11"/>
    <w:rsid w:val="1C8A2C1E"/>
    <w:rsid w:val="1CB05EB0"/>
    <w:rsid w:val="1CB20648"/>
    <w:rsid w:val="1CB82E95"/>
    <w:rsid w:val="1CBD04AB"/>
    <w:rsid w:val="1CC16BEA"/>
    <w:rsid w:val="1CC71503"/>
    <w:rsid w:val="1CD4492D"/>
    <w:rsid w:val="1CD75A11"/>
    <w:rsid w:val="1CDA2086"/>
    <w:rsid w:val="1CDB352C"/>
    <w:rsid w:val="1CE103F0"/>
    <w:rsid w:val="1CEF6904"/>
    <w:rsid w:val="1D084DF0"/>
    <w:rsid w:val="1D0919DE"/>
    <w:rsid w:val="1D0B56BA"/>
    <w:rsid w:val="1D1F2F14"/>
    <w:rsid w:val="1D24542F"/>
    <w:rsid w:val="1D295A04"/>
    <w:rsid w:val="1D305290"/>
    <w:rsid w:val="1D314233"/>
    <w:rsid w:val="1D315124"/>
    <w:rsid w:val="1D3369BF"/>
    <w:rsid w:val="1D345F39"/>
    <w:rsid w:val="1D3C3EF1"/>
    <w:rsid w:val="1D470519"/>
    <w:rsid w:val="1D47405B"/>
    <w:rsid w:val="1D5202A2"/>
    <w:rsid w:val="1D564360"/>
    <w:rsid w:val="1D624B02"/>
    <w:rsid w:val="1D652B35"/>
    <w:rsid w:val="1D735D5D"/>
    <w:rsid w:val="1D7720A3"/>
    <w:rsid w:val="1D792624"/>
    <w:rsid w:val="1D8A1C41"/>
    <w:rsid w:val="1D9274CD"/>
    <w:rsid w:val="1DA763A4"/>
    <w:rsid w:val="1DAD6CAB"/>
    <w:rsid w:val="1DB0492F"/>
    <w:rsid w:val="1DB46F27"/>
    <w:rsid w:val="1DC00BBD"/>
    <w:rsid w:val="1DD85182"/>
    <w:rsid w:val="1DE63A32"/>
    <w:rsid w:val="1DF939CA"/>
    <w:rsid w:val="1DFA7509"/>
    <w:rsid w:val="1E057A0E"/>
    <w:rsid w:val="1E1025E6"/>
    <w:rsid w:val="1E1370CC"/>
    <w:rsid w:val="1E1F47EF"/>
    <w:rsid w:val="1E256308"/>
    <w:rsid w:val="1E3E386E"/>
    <w:rsid w:val="1E4A0464"/>
    <w:rsid w:val="1E4C5F8A"/>
    <w:rsid w:val="1E5B61CE"/>
    <w:rsid w:val="1E62755C"/>
    <w:rsid w:val="1E6432D4"/>
    <w:rsid w:val="1E6456B1"/>
    <w:rsid w:val="1E686971"/>
    <w:rsid w:val="1E6F6A18"/>
    <w:rsid w:val="1E786D7F"/>
    <w:rsid w:val="1E8568ED"/>
    <w:rsid w:val="1E8865EA"/>
    <w:rsid w:val="1E8A260F"/>
    <w:rsid w:val="1E90600B"/>
    <w:rsid w:val="1E915EAB"/>
    <w:rsid w:val="1EA379AC"/>
    <w:rsid w:val="1EC03D03"/>
    <w:rsid w:val="1EC04062"/>
    <w:rsid w:val="1EC11C63"/>
    <w:rsid w:val="1ED3685D"/>
    <w:rsid w:val="1EFD7D80"/>
    <w:rsid w:val="1F0278B8"/>
    <w:rsid w:val="1F0C571A"/>
    <w:rsid w:val="1F0F4CDB"/>
    <w:rsid w:val="1F171B6C"/>
    <w:rsid w:val="1F2121CC"/>
    <w:rsid w:val="1F215352"/>
    <w:rsid w:val="1F464AD2"/>
    <w:rsid w:val="1F4B1BE1"/>
    <w:rsid w:val="1F4B2766"/>
    <w:rsid w:val="1F587555"/>
    <w:rsid w:val="1F59095F"/>
    <w:rsid w:val="1F590E87"/>
    <w:rsid w:val="1F5E5F75"/>
    <w:rsid w:val="1F8110CF"/>
    <w:rsid w:val="1F941997"/>
    <w:rsid w:val="1F960133"/>
    <w:rsid w:val="1F974BE7"/>
    <w:rsid w:val="1FAF4A23"/>
    <w:rsid w:val="1FC72DC6"/>
    <w:rsid w:val="1FCF29CF"/>
    <w:rsid w:val="1FD75D28"/>
    <w:rsid w:val="1FD772F3"/>
    <w:rsid w:val="1FDF6652"/>
    <w:rsid w:val="1FED72F9"/>
    <w:rsid w:val="20012DA5"/>
    <w:rsid w:val="200D1210"/>
    <w:rsid w:val="201700FB"/>
    <w:rsid w:val="20176A04"/>
    <w:rsid w:val="20345AB9"/>
    <w:rsid w:val="203A6CA6"/>
    <w:rsid w:val="20497753"/>
    <w:rsid w:val="204D6EB4"/>
    <w:rsid w:val="206770AC"/>
    <w:rsid w:val="206F3F17"/>
    <w:rsid w:val="20976132"/>
    <w:rsid w:val="20976648"/>
    <w:rsid w:val="20A83220"/>
    <w:rsid w:val="20BC2EA6"/>
    <w:rsid w:val="20C8048A"/>
    <w:rsid w:val="20DA291E"/>
    <w:rsid w:val="20EB53AA"/>
    <w:rsid w:val="20EE3DF3"/>
    <w:rsid w:val="210828E4"/>
    <w:rsid w:val="210E7BC3"/>
    <w:rsid w:val="21156B08"/>
    <w:rsid w:val="2149020C"/>
    <w:rsid w:val="215D04AF"/>
    <w:rsid w:val="215F7D83"/>
    <w:rsid w:val="21666DD1"/>
    <w:rsid w:val="21744331"/>
    <w:rsid w:val="217A1B37"/>
    <w:rsid w:val="21886253"/>
    <w:rsid w:val="218D3897"/>
    <w:rsid w:val="21900499"/>
    <w:rsid w:val="21933ED0"/>
    <w:rsid w:val="21A965D9"/>
    <w:rsid w:val="21C43E54"/>
    <w:rsid w:val="21C613CF"/>
    <w:rsid w:val="21DF3919"/>
    <w:rsid w:val="21E60F53"/>
    <w:rsid w:val="21E6793A"/>
    <w:rsid w:val="21E87D78"/>
    <w:rsid w:val="21EB5326"/>
    <w:rsid w:val="22010C52"/>
    <w:rsid w:val="220C09FC"/>
    <w:rsid w:val="220F79FB"/>
    <w:rsid w:val="22105521"/>
    <w:rsid w:val="22124DF5"/>
    <w:rsid w:val="2221772E"/>
    <w:rsid w:val="224855D5"/>
    <w:rsid w:val="225822EB"/>
    <w:rsid w:val="22592A24"/>
    <w:rsid w:val="22597B00"/>
    <w:rsid w:val="225A0683"/>
    <w:rsid w:val="226536C1"/>
    <w:rsid w:val="226A69DF"/>
    <w:rsid w:val="22727538"/>
    <w:rsid w:val="22743D02"/>
    <w:rsid w:val="227E692E"/>
    <w:rsid w:val="228A2F70"/>
    <w:rsid w:val="22A04AF7"/>
    <w:rsid w:val="22AB212D"/>
    <w:rsid w:val="22B871E4"/>
    <w:rsid w:val="22B97967"/>
    <w:rsid w:val="22DB78DD"/>
    <w:rsid w:val="22DE2F66"/>
    <w:rsid w:val="22E06CA1"/>
    <w:rsid w:val="22EC217B"/>
    <w:rsid w:val="22FB5AE3"/>
    <w:rsid w:val="23182021"/>
    <w:rsid w:val="23257F31"/>
    <w:rsid w:val="23333275"/>
    <w:rsid w:val="23342922"/>
    <w:rsid w:val="233A3AB8"/>
    <w:rsid w:val="233D6067"/>
    <w:rsid w:val="234E6382"/>
    <w:rsid w:val="23507AFB"/>
    <w:rsid w:val="235B2B9C"/>
    <w:rsid w:val="23624749"/>
    <w:rsid w:val="23625209"/>
    <w:rsid w:val="2369313B"/>
    <w:rsid w:val="23751ADF"/>
    <w:rsid w:val="237534EC"/>
    <w:rsid w:val="23825FAA"/>
    <w:rsid w:val="23931F66"/>
    <w:rsid w:val="23981ABC"/>
    <w:rsid w:val="23983DBC"/>
    <w:rsid w:val="23A834F1"/>
    <w:rsid w:val="23AA7D9B"/>
    <w:rsid w:val="23B02B18"/>
    <w:rsid w:val="23B12456"/>
    <w:rsid w:val="23B32608"/>
    <w:rsid w:val="23C334C2"/>
    <w:rsid w:val="23CC3FD8"/>
    <w:rsid w:val="23D031BA"/>
    <w:rsid w:val="23DF51AB"/>
    <w:rsid w:val="23EA6B2E"/>
    <w:rsid w:val="23EB1DA2"/>
    <w:rsid w:val="23F46DF1"/>
    <w:rsid w:val="23F66F76"/>
    <w:rsid w:val="240C7545"/>
    <w:rsid w:val="24135497"/>
    <w:rsid w:val="241C4BCF"/>
    <w:rsid w:val="241C77B7"/>
    <w:rsid w:val="242641B0"/>
    <w:rsid w:val="24297162"/>
    <w:rsid w:val="24345F16"/>
    <w:rsid w:val="243472A5"/>
    <w:rsid w:val="2438774B"/>
    <w:rsid w:val="244D0366"/>
    <w:rsid w:val="244E7D04"/>
    <w:rsid w:val="244F2331"/>
    <w:rsid w:val="245F0A86"/>
    <w:rsid w:val="248C15FE"/>
    <w:rsid w:val="248C1F5D"/>
    <w:rsid w:val="248C6D01"/>
    <w:rsid w:val="24945F95"/>
    <w:rsid w:val="249A7233"/>
    <w:rsid w:val="249F6469"/>
    <w:rsid w:val="24B65D69"/>
    <w:rsid w:val="24CA3632"/>
    <w:rsid w:val="24CF521F"/>
    <w:rsid w:val="24D64800"/>
    <w:rsid w:val="24E72569"/>
    <w:rsid w:val="24F65574"/>
    <w:rsid w:val="24FC5EC6"/>
    <w:rsid w:val="24FF02BE"/>
    <w:rsid w:val="25250D0D"/>
    <w:rsid w:val="25276E09"/>
    <w:rsid w:val="252F3F10"/>
    <w:rsid w:val="253E1A7D"/>
    <w:rsid w:val="25471DE3"/>
    <w:rsid w:val="25592D3B"/>
    <w:rsid w:val="255F65A3"/>
    <w:rsid w:val="25631885"/>
    <w:rsid w:val="256516E0"/>
    <w:rsid w:val="257E0613"/>
    <w:rsid w:val="25893E4E"/>
    <w:rsid w:val="259D3570"/>
    <w:rsid w:val="25B032A3"/>
    <w:rsid w:val="25BC6F43"/>
    <w:rsid w:val="25C651DC"/>
    <w:rsid w:val="25E20F82"/>
    <w:rsid w:val="25E35426"/>
    <w:rsid w:val="25E72BD9"/>
    <w:rsid w:val="26045C7C"/>
    <w:rsid w:val="260B2287"/>
    <w:rsid w:val="261C6242"/>
    <w:rsid w:val="26307F40"/>
    <w:rsid w:val="263500D1"/>
    <w:rsid w:val="2646453F"/>
    <w:rsid w:val="264879A0"/>
    <w:rsid w:val="264A3F88"/>
    <w:rsid w:val="264B4C1B"/>
    <w:rsid w:val="264E3B90"/>
    <w:rsid w:val="26590CD7"/>
    <w:rsid w:val="26597496"/>
    <w:rsid w:val="265D7B52"/>
    <w:rsid w:val="266A50CF"/>
    <w:rsid w:val="26703606"/>
    <w:rsid w:val="26725338"/>
    <w:rsid w:val="268045C8"/>
    <w:rsid w:val="26804680"/>
    <w:rsid w:val="26A06E73"/>
    <w:rsid w:val="26A1089A"/>
    <w:rsid w:val="26A814E5"/>
    <w:rsid w:val="26C17D49"/>
    <w:rsid w:val="26C623A9"/>
    <w:rsid w:val="26D04F87"/>
    <w:rsid w:val="26D05281"/>
    <w:rsid w:val="26D12D41"/>
    <w:rsid w:val="26DA0516"/>
    <w:rsid w:val="26E82B00"/>
    <w:rsid w:val="26E86A6C"/>
    <w:rsid w:val="26EB3E67"/>
    <w:rsid w:val="26F33F5D"/>
    <w:rsid w:val="26F62B63"/>
    <w:rsid w:val="26F947D6"/>
    <w:rsid w:val="26FE3B9A"/>
    <w:rsid w:val="272C6959"/>
    <w:rsid w:val="272C7880"/>
    <w:rsid w:val="27407F8B"/>
    <w:rsid w:val="27494628"/>
    <w:rsid w:val="274954EA"/>
    <w:rsid w:val="276743FF"/>
    <w:rsid w:val="27767BD4"/>
    <w:rsid w:val="2779415D"/>
    <w:rsid w:val="277D71B5"/>
    <w:rsid w:val="277F10EE"/>
    <w:rsid w:val="27802801"/>
    <w:rsid w:val="27857F9B"/>
    <w:rsid w:val="27873005"/>
    <w:rsid w:val="278A7409"/>
    <w:rsid w:val="27902D7A"/>
    <w:rsid w:val="27947818"/>
    <w:rsid w:val="279C7664"/>
    <w:rsid w:val="27A83787"/>
    <w:rsid w:val="27A961FC"/>
    <w:rsid w:val="27AB1471"/>
    <w:rsid w:val="27B70919"/>
    <w:rsid w:val="27C62862"/>
    <w:rsid w:val="27CE38C3"/>
    <w:rsid w:val="27CF6475"/>
    <w:rsid w:val="27D36DD5"/>
    <w:rsid w:val="27D504F0"/>
    <w:rsid w:val="27E0555D"/>
    <w:rsid w:val="27E94357"/>
    <w:rsid w:val="27F07987"/>
    <w:rsid w:val="27F34D1E"/>
    <w:rsid w:val="27F35DB1"/>
    <w:rsid w:val="281713B7"/>
    <w:rsid w:val="28183E65"/>
    <w:rsid w:val="281B6F30"/>
    <w:rsid w:val="28226BD0"/>
    <w:rsid w:val="282F6CE2"/>
    <w:rsid w:val="283A50A6"/>
    <w:rsid w:val="284F6DA3"/>
    <w:rsid w:val="28513294"/>
    <w:rsid w:val="28814A83"/>
    <w:rsid w:val="288527C5"/>
    <w:rsid w:val="288968BC"/>
    <w:rsid w:val="2890229B"/>
    <w:rsid w:val="289512FA"/>
    <w:rsid w:val="289836ED"/>
    <w:rsid w:val="28985CD1"/>
    <w:rsid w:val="289E31FD"/>
    <w:rsid w:val="28A202C5"/>
    <w:rsid w:val="28A42C57"/>
    <w:rsid w:val="28A55BCB"/>
    <w:rsid w:val="28AE62EA"/>
    <w:rsid w:val="28B44E58"/>
    <w:rsid w:val="28F90ABD"/>
    <w:rsid w:val="28FA2E3D"/>
    <w:rsid w:val="28FC05AD"/>
    <w:rsid w:val="290E6FF2"/>
    <w:rsid w:val="290F2FDB"/>
    <w:rsid w:val="29101A42"/>
    <w:rsid w:val="291B0A33"/>
    <w:rsid w:val="292E6603"/>
    <w:rsid w:val="2934216E"/>
    <w:rsid w:val="29406891"/>
    <w:rsid w:val="295550E6"/>
    <w:rsid w:val="29580551"/>
    <w:rsid w:val="29593E36"/>
    <w:rsid w:val="29714AF7"/>
    <w:rsid w:val="297578FD"/>
    <w:rsid w:val="29821A82"/>
    <w:rsid w:val="298567F4"/>
    <w:rsid w:val="298775C4"/>
    <w:rsid w:val="29891E41"/>
    <w:rsid w:val="298A5B75"/>
    <w:rsid w:val="299C15C0"/>
    <w:rsid w:val="29A204BB"/>
    <w:rsid w:val="29A72C62"/>
    <w:rsid w:val="29A94232"/>
    <w:rsid w:val="29B449E4"/>
    <w:rsid w:val="29B63917"/>
    <w:rsid w:val="29C94933"/>
    <w:rsid w:val="29E4176D"/>
    <w:rsid w:val="29EA442F"/>
    <w:rsid w:val="29EC6E08"/>
    <w:rsid w:val="2A0A2F5A"/>
    <w:rsid w:val="2A135BAE"/>
    <w:rsid w:val="2A23403A"/>
    <w:rsid w:val="2A236682"/>
    <w:rsid w:val="2A2658E2"/>
    <w:rsid w:val="2A2A4CC3"/>
    <w:rsid w:val="2A3042F8"/>
    <w:rsid w:val="2A3049B2"/>
    <w:rsid w:val="2A3D35F7"/>
    <w:rsid w:val="2A3F37A7"/>
    <w:rsid w:val="2A5065D2"/>
    <w:rsid w:val="2A5D3FC7"/>
    <w:rsid w:val="2A5E3BD9"/>
    <w:rsid w:val="2A7034BC"/>
    <w:rsid w:val="2A7E68DB"/>
    <w:rsid w:val="2A7F4879"/>
    <w:rsid w:val="2A88034A"/>
    <w:rsid w:val="2A9E51AB"/>
    <w:rsid w:val="2A9F5694"/>
    <w:rsid w:val="2AAB1C67"/>
    <w:rsid w:val="2AB033FD"/>
    <w:rsid w:val="2AB5573A"/>
    <w:rsid w:val="2ACB46DB"/>
    <w:rsid w:val="2AD60C94"/>
    <w:rsid w:val="2ADC684E"/>
    <w:rsid w:val="2AED239C"/>
    <w:rsid w:val="2AF43C32"/>
    <w:rsid w:val="2AF459E0"/>
    <w:rsid w:val="2B084FE7"/>
    <w:rsid w:val="2B0A0D5F"/>
    <w:rsid w:val="2B0D5FC1"/>
    <w:rsid w:val="2B156032"/>
    <w:rsid w:val="2B2037E0"/>
    <w:rsid w:val="2B282F42"/>
    <w:rsid w:val="2B30515E"/>
    <w:rsid w:val="2B37288D"/>
    <w:rsid w:val="2B39627D"/>
    <w:rsid w:val="2B5350CF"/>
    <w:rsid w:val="2B6279B6"/>
    <w:rsid w:val="2B6F1D96"/>
    <w:rsid w:val="2B8661FA"/>
    <w:rsid w:val="2B925876"/>
    <w:rsid w:val="2BB065EE"/>
    <w:rsid w:val="2BB53894"/>
    <w:rsid w:val="2BC058C2"/>
    <w:rsid w:val="2BC5737C"/>
    <w:rsid w:val="2BE87C1B"/>
    <w:rsid w:val="2BF666D8"/>
    <w:rsid w:val="2C014A3C"/>
    <w:rsid w:val="2C025EDA"/>
    <w:rsid w:val="2C032F30"/>
    <w:rsid w:val="2C266E26"/>
    <w:rsid w:val="2C2B1585"/>
    <w:rsid w:val="2C3562B0"/>
    <w:rsid w:val="2C3D33B6"/>
    <w:rsid w:val="2C444745"/>
    <w:rsid w:val="2C467EB3"/>
    <w:rsid w:val="2C4915DA"/>
    <w:rsid w:val="2C551141"/>
    <w:rsid w:val="2C560174"/>
    <w:rsid w:val="2C6C351A"/>
    <w:rsid w:val="2C784986"/>
    <w:rsid w:val="2C7A1F15"/>
    <w:rsid w:val="2C7F577D"/>
    <w:rsid w:val="2C8715C0"/>
    <w:rsid w:val="2C9D7DFD"/>
    <w:rsid w:val="2CA42323"/>
    <w:rsid w:val="2CA47E64"/>
    <w:rsid w:val="2CAC4AB2"/>
    <w:rsid w:val="2CBE5C44"/>
    <w:rsid w:val="2CC71F54"/>
    <w:rsid w:val="2CC94C4A"/>
    <w:rsid w:val="2CDA0C05"/>
    <w:rsid w:val="2CDC02BD"/>
    <w:rsid w:val="2CE37ABA"/>
    <w:rsid w:val="2CE75044"/>
    <w:rsid w:val="2CF31862"/>
    <w:rsid w:val="2CF96B08"/>
    <w:rsid w:val="2D025A1D"/>
    <w:rsid w:val="2D1F1363"/>
    <w:rsid w:val="2D2500D2"/>
    <w:rsid w:val="2D2F0F51"/>
    <w:rsid w:val="2D35408E"/>
    <w:rsid w:val="2D3842B6"/>
    <w:rsid w:val="2D3F01AA"/>
    <w:rsid w:val="2D3F1447"/>
    <w:rsid w:val="2D401355"/>
    <w:rsid w:val="2D482013"/>
    <w:rsid w:val="2D520FD2"/>
    <w:rsid w:val="2D5703A1"/>
    <w:rsid w:val="2D571921"/>
    <w:rsid w:val="2D595FCE"/>
    <w:rsid w:val="2D5E5D06"/>
    <w:rsid w:val="2D612B18"/>
    <w:rsid w:val="2D7328EA"/>
    <w:rsid w:val="2D776454"/>
    <w:rsid w:val="2D861155"/>
    <w:rsid w:val="2D8748E9"/>
    <w:rsid w:val="2DA756A7"/>
    <w:rsid w:val="2DAD6DA8"/>
    <w:rsid w:val="2DAE36C6"/>
    <w:rsid w:val="2DD81030"/>
    <w:rsid w:val="2DDB463C"/>
    <w:rsid w:val="2DE51610"/>
    <w:rsid w:val="2DEA30CA"/>
    <w:rsid w:val="2DEC6E42"/>
    <w:rsid w:val="2DEF2B3F"/>
    <w:rsid w:val="2E0223CE"/>
    <w:rsid w:val="2E1755D7"/>
    <w:rsid w:val="2E24480A"/>
    <w:rsid w:val="2E2C5491"/>
    <w:rsid w:val="2E2F6D2F"/>
    <w:rsid w:val="2E383E35"/>
    <w:rsid w:val="2E67296D"/>
    <w:rsid w:val="2E734E6D"/>
    <w:rsid w:val="2E7C55A3"/>
    <w:rsid w:val="2E7D7A9A"/>
    <w:rsid w:val="2E884DBD"/>
    <w:rsid w:val="2EAE7453"/>
    <w:rsid w:val="2EB6422E"/>
    <w:rsid w:val="2EC41B6D"/>
    <w:rsid w:val="2EDA313F"/>
    <w:rsid w:val="2EDC6EB7"/>
    <w:rsid w:val="2EEA1E0F"/>
    <w:rsid w:val="2EEA6C5E"/>
    <w:rsid w:val="2EF75A9F"/>
    <w:rsid w:val="2EF835C5"/>
    <w:rsid w:val="2EF95A0D"/>
    <w:rsid w:val="2EFA733D"/>
    <w:rsid w:val="2EFB1267"/>
    <w:rsid w:val="2EFE159D"/>
    <w:rsid w:val="2EFF4953"/>
    <w:rsid w:val="2F10090E"/>
    <w:rsid w:val="2F120B2A"/>
    <w:rsid w:val="2F123648"/>
    <w:rsid w:val="2F1A57AA"/>
    <w:rsid w:val="2F1E74CF"/>
    <w:rsid w:val="2F260132"/>
    <w:rsid w:val="2F2D326E"/>
    <w:rsid w:val="2F4D56BE"/>
    <w:rsid w:val="2F520F27"/>
    <w:rsid w:val="2F56430B"/>
    <w:rsid w:val="2F5922B5"/>
    <w:rsid w:val="2F593FF3"/>
    <w:rsid w:val="2F5F53F2"/>
    <w:rsid w:val="2F6A1A75"/>
    <w:rsid w:val="2F6D3FB3"/>
    <w:rsid w:val="2F7075FF"/>
    <w:rsid w:val="2F7C41F6"/>
    <w:rsid w:val="2F8C268B"/>
    <w:rsid w:val="2F8E4B42"/>
    <w:rsid w:val="2FAB0637"/>
    <w:rsid w:val="2FAD2D44"/>
    <w:rsid w:val="2FC77C14"/>
    <w:rsid w:val="2FCB090C"/>
    <w:rsid w:val="2FD47B8E"/>
    <w:rsid w:val="2FE75B13"/>
    <w:rsid w:val="2FE90DE1"/>
    <w:rsid w:val="2FEF6E32"/>
    <w:rsid w:val="2FF75845"/>
    <w:rsid w:val="300C7543"/>
    <w:rsid w:val="30136908"/>
    <w:rsid w:val="301B756B"/>
    <w:rsid w:val="3023545C"/>
    <w:rsid w:val="30320F6E"/>
    <w:rsid w:val="30380B07"/>
    <w:rsid w:val="30393E95"/>
    <w:rsid w:val="303F76FD"/>
    <w:rsid w:val="30420F9B"/>
    <w:rsid w:val="304C005F"/>
    <w:rsid w:val="306067AA"/>
    <w:rsid w:val="3062519A"/>
    <w:rsid w:val="306727B0"/>
    <w:rsid w:val="30712031"/>
    <w:rsid w:val="30717773"/>
    <w:rsid w:val="308E30B0"/>
    <w:rsid w:val="30A9101A"/>
    <w:rsid w:val="30A975A1"/>
    <w:rsid w:val="30D616E4"/>
    <w:rsid w:val="30E2378F"/>
    <w:rsid w:val="30EB4869"/>
    <w:rsid w:val="30FA0E53"/>
    <w:rsid w:val="31060B3A"/>
    <w:rsid w:val="310E70CF"/>
    <w:rsid w:val="31120E0D"/>
    <w:rsid w:val="31163AA8"/>
    <w:rsid w:val="31177414"/>
    <w:rsid w:val="31230DCD"/>
    <w:rsid w:val="31296197"/>
    <w:rsid w:val="31344B58"/>
    <w:rsid w:val="313520E3"/>
    <w:rsid w:val="3139239E"/>
    <w:rsid w:val="31565E30"/>
    <w:rsid w:val="315B528D"/>
    <w:rsid w:val="31643065"/>
    <w:rsid w:val="316D22CE"/>
    <w:rsid w:val="319121DA"/>
    <w:rsid w:val="31B639EF"/>
    <w:rsid w:val="31B9528D"/>
    <w:rsid w:val="31BA3DC0"/>
    <w:rsid w:val="31E62A24"/>
    <w:rsid w:val="31EC0383"/>
    <w:rsid w:val="31F40DE8"/>
    <w:rsid w:val="31F77B64"/>
    <w:rsid w:val="31FF4C9A"/>
    <w:rsid w:val="320145B3"/>
    <w:rsid w:val="32072ED2"/>
    <w:rsid w:val="320C125F"/>
    <w:rsid w:val="32142111"/>
    <w:rsid w:val="32171FB4"/>
    <w:rsid w:val="32257FD0"/>
    <w:rsid w:val="32274AEE"/>
    <w:rsid w:val="32326DEE"/>
    <w:rsid w:val="32391457"/>
    <w:rsid w:val="324B47DF"/>
    <w:rsid w:val="32500507"/>
    <w:rsid w:val="32527109"/>
    <w:rsid w:val="325C758D"/>
    <w:rsid w:val="32643B5D"/>
    <w:rsid w:val="32706641"/>
    <w:rsid w:val="327A29B6"/>
    <w:rsid w:val="327B2543"/>
    <w:rsid w:val="32827D75"/>
    <w:rsid w:val="328A09D8"/>
    <w:rsid w:val="32943C55"/>
    <w:rsid w:val="329F0927"/>
    <w:rsid w:val="32A34BCC"/>
    <w:rsid w:val="32AC0BAE"/>
    <w:rsid w:val="32BB4747"/>
    <w:rsid w:val="32BF4B25"/>
    <w:rsid w:val="32C03907"/>
    <w:rsid w:val="32C81E3B"/>
    <w:rsid w:val="32D16607"/>
    <w:rsid w:val="32ED0407"/>
    <w:rsid w:val="330603C3"/>
    <w:rsid w:val="331905DB"/>
    <w:rsid w:val="331B601F"/>
    <w:rsid w:val="33244988"/>
    <w:rsid w:val="33372A2C"/>
    <w:rsid w:val="33506296"/>
    <w:rsid w:val="33573B75"/>
    <w:rsid w:val="335C41EF"/>
    <w:rsid w:val="33857004"/>
    <w:rsid w:val="338E08B3"/>
    <w:rsid w:val="339257C0"/>
    <w:rsid w:val="33966FD5"/>
    <w:rsid w:val="339807A8"/>
    <w:rsid w:val="339B7340"/>
    <w:rsid w:val="33A1247D"/>
    <w:rsid w:val="33BE7F68"/>
    <w:rsid w:val="33C70135"/>
    <w:rsid w:val="33CE21F3"/>
    <w:rsid w:val="33D27500"/>
    <w:rsid w:val="33D86D5F"/>
    <w:rsid w:val="33D958BB"/>
    <w:rsid w:val="33EF33EA"/>
    <w:rsid w:val="341449D6"/>
    <w:rsid w:val="342041E0"/>
    <w:rsid w:val="342509B8"/>
    <w:rsid w:val="342A4BC1"/>
    <w:rsid w:val="342B4004"/>
    <w:rsid w:val="343473E0"/>
    <w:rsid w:val="343A7250"/>
    <w:rsid w:val="34687E1F"/>
    <w:rsid w:val="34727975"/>
    <w:rsid w:val="347F7AAC"/>
    <w:rsid w:val="348A3710"/>
    <w:rsid w:val="348D3E7F"/>
    <w:rsid w:val="34936269"/>
    <w:rsid w:val="349421D6"/>
    <w:rsid w:val="349E25D4"/>
    <w:rsid w:val="349F3BCE"/>
    <w:rsid w:val="34AC38E0"/>
    <w:rsid w:val="34AF3562"/>
    <w:rsid w:val="34B85CD0"/>
    <w:rsid w:val="34BB131C"/>
    <w:rsid w:val="34BF705E"/>
    <w:rsid w:val="34CE1050"/>
    <w:rsid w:val="34D16667"/>
    <w:rsid w:val="34DD1B24"/>
    <w:rsid w:val="34DF0E85"/>
    <w:rsid w:val="34E41349"/>
    <w:rsid w:val="34EA6E93"/>
    <w:rsid w:val="34F34F5A"/>
    <w:rsid w:val="350333C4"/>
    <w:rsid w:val="351F5044"/>
    <w:rsid w:val="352704ED"/>
    <w:rsid w:val="3529097C"/>
    <w:rsid w:val="3540147D"/>
    <w:rsid w:val="3543098B"/>
    <w:rsid w:val="35510826"/>
    <w:rsid w:val="35723FD1"/>
    <w:rsid w:val="35790388"/>
    <w:rsid w:val="358D4A67"/>
    <w:rsid w:val="35B2263D"/>
    <w:rsid w:val="35C52CB4"/>
    <w:rsid w:val="35DE1766"/>
    <w:rsid w:val="35DF0A5A"/>
    <w:rsid w:val="35E00D7D"/>
    <w:rsid w:val="35FA4F10"/>
    <w:rsid w:val="360016DD"/>
    <w:rsid w:val="36030477"/>
    <w:rsid w:val="36071F44"/>
    <w:rsid w:val="3608326C"/>
    <w:rsid w:val="36211142"/>
    <w:rsid w:val="363B3BD7"/>
    <w:rsid w:val="363E3EF4"/>
    <w:rsid w:val="364347EA"/>
    <w:rsid w:val="36475651"/>
    <w:rsid w:val="364A2958"/>
    <w:rsid w:val="364C05F4"/>
    <w:rsid w:val="365E71A3"/>
    <w:rsid w:val="36617CA1"/>
    <w:rsid w:val="3662390B"/>
    <w:rsid w:val="366A2FFA"/>
    <w:rsid w:val="366C2027"/>
    <w:rsid w:val="367118BF"/>
    <w:rsid w:val="36797D59"/>
    <w:rsid w:val="36864489"/>
    <w:rsid w:val="3698449C"/>
    <w:rsid w:val="36987B67"/>
    <w:rsid w:val="36AD2EE7"/>
    <w:rsid w:val="36AE1EFF"/>
    <w:rsid w:val="36B23DE1"/>
    <w:rsid w:val="36B44275"/>
    <w:rsid w:val="36B96E65"/>
    <w:rsid w:val="36D23A60"/>
    <w:rsid w:val="36D2726B"/>
    <w:rsid w:val="36D479B7"/>
    <w:rsid w:val="36D6068F"/>
    <w:rsid w:val="36DA0180"/>
    <w:rsid w:val="36DB4325"/>
    <w:rsid w:val="36EB2C84"/>
    <w:rsid w:val="36EF5268"/>
    <w:rsid w:val="36FE51D2"/>
    <w:rsid w:val="370202F1"/>
    <w:rsid w:val="370637E9"/>
    <w:rsid w:val="370D361B"/>
    <w:rsid w:val="37125F2E"/>
    <w:rsid w:val="371D62BE"/>
    <w:rsid w:val="372968F4"/>
    <w:rsid w:val="375D48AA"/>
    <w:rsid w:val="37602BC2"/>
    <w:rsid w:val="376254F3"/>
    <w:rsid w:val="37637F4D"/>
    <w:rsid w:val="376412D4"/>
    <w:rsid w:val="376B527C"/>
    <w:rsid w:val="376B6DC7"/>
    <w:rsid w:val="377063EE"/>
    <w:rsid w:val="37712166"/>
    <w:rsid w:val="37712ED6"/>
    <w:rsid w:val="377834F5"/>
    <w:rsid w:val="37821BB0"/>
    <w:rsid w:val="378974B0"/>
    <w:rsid w:val="37991881"/>
    <w:rsid w:val="37A83DDA"/>
    <w:rsid w:val="37B80547"/>
    <w:rsid w:val="37BE35FD"/>
    <w:rsid w:val="37BF2ED1"/>
    <w:rsid w:val="37CE55FF"/>
    <w:rsid w:val="37D14347"/>
    <w:rsid w:val="37D87934"/>
    <w:rsid w:val="37F60806"/>
    <w:rsid w:val="37F7266B"/>
    <w:rsid w:val="382B0567"/>
    <w:rsid w:val="38525BF6"/>
    <w:rsid w:val="38544D3A"/>
    <w:rsid w:val="385E6B8E"/>
    <w:rsid w:val="385F15DC"/>
    <w:rsid w:val="3865337F"/>
    <w:rsid w:val="38667A4E"/>
    <w:rsid w:val="38694EDA"/>
    <w:rsid w:val="386D0B7F"/>
    <w:rsid w:val="387D54F4"/>
    <w:rsid w:val="387E59EE"/>
    <w:rsid w:val="3882287D"/>
    <w:rsid w:val="3885411B"/>
    <w:rsid w:val="388769DF"/>
    <w:rsid w:val="38910D12"/>
    <w:rsid w:val="389C0FBE"/>
    <w:rsid w:val="38A81BB8"/>
    <w:rsid w:val="38DA734F"/>
    <w:rsid w:val="38E72B2E"/>
    <w:rsid w:val="38EB0C7D"/>
    <w:rsid w:val="38F11E14"/>
    <w:rsid w:val="390064A2"/>
    <w:rsid w:val="390222EF"/>
    <w:rsid w:val="39032444"/>
    <w:rsid w:val="39096AFA"/>
    <w:rsid w:val="391344E8"/>
    <w:rsid w:val="39243934"/>
    <w:rsid w:val="39252F94"/>
    <w:rsid w:val="392751BB"/>
    <w:rsid w:val="392D1490"/>
    <w:rsid w:val="392E47B3"/>
    <w:rsid w:val="395A7700"/>
    <w:rsid w:val="395B2CE6"/>
    <w:rsid w:val="3963751F"/>
    <w:rsid w:val="39643D30"/>
    <w:rsid w:val="396E155C"/>
    <w:rsid w:val="396F0F8E"/>
    <w:rsid w:val="397653B6"/>
    <w:rsid w:val="397A17A6"/>
    <w:rsid w:val="397C7B2A"/>
    <w:rsid w:val="39854ED1"/>
    <w:rsid w:val="39967025"/>
    <w:rsid w:val="39A33D9C"/>
    <w:rsid w:val="39A64349"/>
    <w:rsid w:val="39B42C08"/>
    <w:rsid w:val="39B94C9C"/>
    <w:rsid w:val="39BF74CE"/>
    <w:rsid w:val="39CA1DB4"/>
    <w:rsid w:val="39D32C64"/>
    <w:rsid w:val="39DA0497"/>
    <w:rsid w:val="39DF5CE8"/>
    <w:rsid w:val="39E042E5"/>
    <w:rsid w:val="39E6508D"/>
    <w:rsid w:val="39F90CB9"/>
    <w:rsid w:val="39FE01B9"/>
    <w:rsid w:val="3A0864E5"/>
    <w:rsid w:val="3A0E0140"/>
    <w:rsid w:val="3A143057"/>
    <w:rsid w:val="3A157721"/>
    <w:rsid w:val="3A1D144C"/>
    <w:rsid w:val="3A217E73"/>
    <w:rsid w:val="3A325BDD"/>
    <w:rsid w:val="3A3758E9"/>
    <w:rsid w:val="3A494573"/>
    <w:rsid w:val="3A543DA5"/>
    <w:rsid w:val="3A566682"/>
    <w:rsid w:val="3A5B3949"/>
    <w:rsid w:val="3A640D74"/>
    <w:rsid w:val="3A812915"/>
    <w:rsid w:val="3A945CF3"/>
    <w:rsid w:val="3A956927"/>
    <w:rsid w:val="3AA30888"/>
    <w:rsid w:val="3AB13773"/>
    <w:rsid w:val="3ABC643F"/>
    <w:rsid w:val="3AC40A3E"/>
    <w:rsid w:val="3AC46E8A"/>
    <w:rsid w:val="3AC63F4F"/>
    <w:rsid w:val="3AD027BE"/>
    <w:rsid w:val="3ADD3794"/>
    <w:rsid w:val="3AE16626"/>
    <w:rsid w:val="3AE728C1"/>
    <w:rsid w:val="3B0113FB"/>
    <w:rsid w:val="3B043A1D"/>
    <w:rsid w:val="3B183024"/>
    <w:rsid w:val="3B1A35B5"/>
    <w:rsid w:val="3B36794F"/>
    <w:rsid w:val="3B377820"/>
    <w:rsid w:val="3B40257B"/>
    <w:rsid w:val="3B4262F3"/>
    <w:rsid w:val="3B4E6A46"/>
    <w:rsid w:val="3B560F3F"/>
    <w:rsid w:val="3B697D24"/>
    <w:rsid w:val="3B81600F"/>
    <w:rsid w:val="3B892174"/>
    <w:rsid w:val="3BAA5C47"/>
    <w:rsid w:val="3BAE3989"/>
    <w:rsid w:val="3BC431AC"/>
    <w:rsid w:val="3BC62B1B"/>
    <w:rsid w:val="3BCC485F"/>
    <w:rsid w:val="3BD86C58"/>
    <w:rsid w:val="3BEA17E1"/>
    <w:rsid w:val="3BF34D89"/>
    <w:rsid w:val="3BF76D2D"/>
    <w:rsid w:val="3C010EAC"/>
    <w:rsid w:val="3C025A83"/>
    <w:rsid w:val="3C09747B"/>
    <w:rsid w:val="3C126921"/>
    <w:rsid w:val="3C145EE2"/>
    <w:rsid w:val="3C1F51A4"/>
    <w:rsid w:val="3C3E3668"/>
    <w:rsid w:val="3C4B0754"/>
    <w:rsid w:val="3C4D6CFE"/>
    <w:rsid w:val="3C4E170D"/>
    <w:rsid w:val="3C580158"/>
    <w:rsid w:val="3C633B17"/>
    <w:rsid w:val="3C6D0867"/>
    <w:rsid w:val="3C700C3E"/>
    <w:rsid w:val="3C7B7D0F"/>
    <w:rsid w:val="3C7E038B"/>
    <w:rsid w:val="3C8A7F52"/>
    <w:rsid w:val="3C9A3FAA"/>
    <w:rsid w:val="3C9C1A33"/>
    <w:rsid w:val="3CAF3B71"/>
    <w:rsid w:val="3CB12C58"/>
    <w:rsid w:val="3CB26CAF"/>
    <w:rsid w:val="3CB90837"/>
    <w:rsid w:val="3CB959B4"/>
    <w:rsid w:val="3CCE72F6"/>
    <w:rsid w:val="3CE21B3C"/>
    <w:rsid w:val="3CE358B4"/>
    <w:rsid w:val="3CE8111C"/>
    <w:rsid w:val="3CF950D8"/>
    <w:rsid w:val="3D0A2E41"/>
    <w:rsid w:val="3D114027"/>
    <w:rsid w:val="3D121CF5"/>
    <w:rsid w:val="3D1B504E"/>
    <w:rsid w:val="3D3E3F94"/>
    <w:rsid w:val="3D703E71"/>
    <w:rsid w:val="3D706789"/>
    <w:rsid w:val="3D8C7CFA"/>
    <w:rsid w:val="3DA70690"/>
    <w:rsid w:val="3DA73AFF"/>
    <w:rsid w:val="3DAC214A"/>
    <w:rsid w:val="3DAF5796"/>
    <w:rsid w:val="3DB33860"/>
    <w:rsid w:val="3DB43893"/>
    <w:rsid w:val="3DC409A9"/>
    <w:rsid w:val="3DCD20F0"/>
    <w:rsid w:val="3DDD67A7"/>
    <w:rsid w:val="3DE11DF4"/>
    <w:rsid w:val="3E000AE9"/>
    <w:rsid w:val="3E085965"/>
    <w:rsid w:val="3E1C45C2"/>
    <w:rsid w:val="3E2241BA"/>
    <w:rsid w:val="3E2322C1"/>
    <w:rsid w:val="3E2F3A6C"/>
    <w:rsid w:val="3E330704"/>
    <w:rsid w:val="3E4676CB"/>
    <w:rsid w:val="3E472358"/>
    <w:rsid w:val="3E523F58"/>
    <w:rsid w:val="3E7A0438"/>
    <w:rsid w:val="3E8804C1"/>
    <w:rsid w:val="3E90546F"/>
    <w:rsid w:val="3E9277F7"/>
    <w:rsid w:val="3E94330A"/>
    <w:rsid w:val="3E952BDE"/>
    <w:rsid w:val="3E970704"/>
    <w:rsid w:val="3EA3354D"/>
    <w:rsid w:val="3EA659A4"/>
    <w:rsid w:val="3EAC66E9"/>
    <w:rsid w:val="3EBA4BED"/>
    <w:rsid w:val="3EBF7C5B"/>
    <w:rsid w:val="3ECE4E22"/>
    <w:rsid w:val="3ED902E5"/>
    <w:rsid w:val="3EEB3789"/>
    <w:rsid w:val="3EF01EE6"/>
    <w:rsid w:val="3EF454F5"/>
    <w:rsid w:val="3EF913BF"/>
    <w:rsid w:val="3EFC52FA"/>
    <w:rsid w:val="3EFE1884"/>
    <w:rsid w:val="3F3D74FE"/>
    <w:rsid w:val="3F3E3276"/>
    <w:rsid w:val="3F4A39C9"/>
    <w:rsid w:val="3F7B4A83"/>
    <w:rsid w:val="3F9B41CD"/>
    <w:rsid w:val="3FB27DE7"/>
    <w:rsid w:val="3FB52530"/>
    <w:rsid w:val="3FBE7F13"/>
    <w:rsid w:val="3FC52EF8"/>
    <w:rsid w:val="3FDF7280"/>
    <w:rsid w:val="3FE0432D"/>
    <w:rsid w:val="3FE45AC7"/>
    <w:rsid w:val="3FE47979"/>
    <w:rsid w:val="3FE94F8F"/>
    <w:rsid w:val="3FEF092F"/>
    <w:rsid w:val="3FF04570"/>
    <w:rsid w:val="400224F5"/>
    <w:rsid w:val="40026FD9"/>
    <w:rsid w:val="400B4B44"/>
    <w:rsid w:val="400F1DB6"/>
    <w:rsid w:val="40181D19"/>
    <w:rsid w:val="40236D97"/>
    <w:rsid w:val="40387CC5"/>
    <w:rsid w:val="40391054"/>
    <w:rsid w:val="4042493B"/>
    <w:rsid w:val="404507D0"/>
    <w:rsid w:val="404644DE"/>
    <w:rsid w:val="404D19C2"/>
    <w:rsid w:val="404F4D15"/>
    <w:rsid w:val="4068230D"/>
    <w:rsid w:val="40697B86"/>
    <w:rsid w:val="40896772"/>
    <w:rsid w:val="408C7C9E"/>
    <w:rsid w:val="409E11A0"/>
    <w:rsid w:val="40A37834"/>
    <w:rsid w:val="40AB66E9"/>
    <w:rsid w:val="40BB2DD0"/>
    <w:rsid w:val="40C41559"/>
    <w:rsid w:val="40C453A3"/>
    <w:rsid w:val="40C63523"/>
    <w:rsid w:val="40C75C87"/>
    <w:rsid w:val="40FD6FAE"/>
    <w:rsid w:val="410C60E7"/>
    <w:rsid w:val="410D2134"/>
    <w:rsid w:val="41112DD1"/>
    <w:rsid w:val="41265D6F"/>
    <w:rsid w:val="41483F38"/>
    <w:rsid w:val="414D59F2"/>
    <w:rsid w:val="414F6B48"/>
    <w:rsid w:val="41540E79"/>
    <w:rsid w:val="416548A5"/>
    <w:rsid w:val="41672D64"/>
    <w:rsid w:val="416A2018"/>
    <w:rsid w:val="41886A2A"/>
    <w:rsid w:val="41926DB6"/>
    <w:rsid w:val="41A75102"/>
    <w:rsid w:val="41A970CC"/>
    <w:rsid w:val="41C171A0"/>
    <w:rsid w:val="41C35C49"/>
    <w:rsid w:val="41C9527A"/>
    <w:rsid w:val="41CD6FD3"/>
    <w:rsid w:val="41DA54D8"/>
    <w:rsid w:val="41DE54F1"/>
    <w:rsid w:val="41E06866"/>
    <w:rsid w:val="41ED0931"/>
    <w:rsid w:val="42072198"/>
    <w:rsid w:val="420B496B"/>
    <w:rsid w:val="420F32B1"/>
    <w:rsid w:val="421F2EEA"/>
    <w:rsid w:val="42276243"/>
    <w:rsid w:val="422E137F"/>
    <w:rsid w:val="422E312E"/>
    <w:rsid w:val="424D3EFC"/>
    <w:rsid w:val="424E37D0"/>
    <w:rsid w:val="42557A6D"/>
    <w:rsid w:val="42562684"/>
    <w:rsid w:val="4264041B"/>
    <w:rsid w:val="42641245"/>
    <w:rsid w:val="42750D5C"/>
    <w:rsid w:val="428B0580"/>
    <w:rsid w:val="428D02AC"/>
    <w:rsid w:val="42A3080C"/>
    <w:rsid w:val="42AE2DDF"/>
    <w:rsid w:val="42CF6DCB"/>
    <w:rsid w:val="42D07C4A"/>
    <w:rsid w:val="42DA0350"/>
    <w:rsid w:val="42DB36BD"/>
    <w:rsid w:val="42E04750"/>
    <w:rsid w:val="42E234DB"/>
    <w:rsid w:val="42E859D2"/>
    <w:rsid w:val="42E85B3F"/>
    <w:rsid w:val="42EE4DAE"/>
    <w:rsid w:val="42F84FE8"/>
    <w:rsid w:val="42F976BC"/>
    <w:rsid w:val="42FB0404"/>
    <w:rsid w:val="42FC322C"/>
    <w:rsid w:val="43140575"/>
    <w:rsid w:val="432B1D63"/>
    <w:rsid w:val="432F1853"/>
    <w:rsid w:val="433F2A91"/>
    <w:rsid w:val="434F191C"/>
    <w:rsid w:val="4365117A"/>
    <w:rsid w:val="436F39FE"/>
    <w:rsid w:val="437007DE"/>
    <w:rsid w:val="43941966"/>
    <w:rsid w:val="43947908"/>
    <w:rsid w:val="439C45FA"/>
    <w:rsid w:val="43AF5AAF"/>
    <w:rsid w:val="43B52193"/>
    <w:rsid w:val="43B62347"/>
    <w:rsid w:val="43C019A5"/>
    <w:rsid w:val="43C01C61"/>
    <w:rsid w:val="43C27FD1"/>
    <w:rsid w:val="43C54576"/>
    <w:rsid w:val="43CB418F"/>
    <w:rsid w:val="43CC70A2"/>
    <w:rsid w:val="43D03B0D"/>
    <w:rsid w:val="43D22B14"/>
    <w:rsid w:val="43E17DC7"/>
    <w:rsid w:val="43EA577A"/>
    <w:rsid w:val="43EF0FE2"/>
    <w:rsid w:val="43F56C24"/>
    <w:rsid w:val="44114AB5"/>
    <w:rsid w:val="44161AEB"/>
    <w:rsid w:val="441822E7"/>
    <w:rsid w:val="441D16AC"/>
    <w:rsid w:val="442C2731"/>
    <w:rsid w:val="442F459C"/>
    <w:rsid w:val="443B3B7E"/>
    <w:rsid w:val="4445537C"/>
    <w:rsid w:val="44565A3A"/>
    <w:rsid w:val="446C4CCD"/>
    <w:rsid w:val="447E6457"/>
    <w:rsid w:val="44872FC9"/>
    <w:rsid w:val="448B7B80"/>
    <w:rsid w:val="448C3FE8"/>
    <w:rsid w:val="449E165D"/>
    <w:rsid w:val="44A75419"/>
    <w:rsid w:val="44B20151"/>
    <w:rsid w:val="44B93FF0"/>
    <w:rsid w:val="44BC2C73"/>
    <w:rsid w:val="44D41C38"/>
    <w:rsid w:val="44D43C63"/>
    <w:rsid w:val="44D501D8"/>
    <w:rsid w:val="44DD0E3B"/>
    <w:rsid w:val="44E1092B"/>
    <w:rsid w:val="44E76607"/>
    <w:rsid w:val="44F20D8A"/>
    <w:rsid w:val="44F609B4"/>
    <w:rsid w:val="450A0A19"/>
    <w:rsid w:val="450C2801"/>
    <w:rsid w:val="451A5BEB"/>
    <w:rsid w:val="45244CBC"/>
    <w:rsid w:val="45372941"/>
    <w:rsid w:val="45440EBA"/>
    <w:rsid w:val="45523477"/>
    <w:rsid w:val="4556390B"/>
    <w:rsid w:val="455B06C0"/>
    <w:rsid w:val="456001B0"/>
    <w:rsid w:val="456B0388"/>
    <w:rsid w:val="45711C92"/>
    <w:rsid w:val="458614D2"/>
    <w:rsid w:val="4589169E"/>
    <w:rsid w:val="458A7624"/>
    <w:rsid w:val="458E3310"/>
    <w:rsid w:val="45A271B1"/>
    <w:rsid w:val="45B12F8D"/>
    <w:rsid w:val="45B51F94"/>
    <w:rsid w:val="45CD7101"/>
    <w:rsid w:val="45D43DAA"/>
    <w:rsid w:val="45D71D2E"/>
    <w:rsid w:val="45D84426"/>
    <w:rsid w:val="45E3794A"/>
    <w:rsid w:val="45E63479"/>
    <w:rsid w:val="45E702C2"/>
    <w:rsid w:val="45F4468E"/>
    <w:rsid w:val="45FC7D8F"/>
    <w:rsid w:val="460C0F74"/>
    <w:rsid w:val="46390424"/>
    <w:rsid w:val="46445615"/>
    <w:rsid w:val="46511AE0"/>
    <w:rsid w:val="46536455"/>
    <w:rsid w:val="465670F7"/>
    <w:rsid w:val="465869CB"/>
    <w:rsid w:val="465A59E8"/>
    <w:rsid w:val="465C535A"/>
    <w:rsid w:val="465D3190"/>
    <w:rsid w:val="46780A66"/>
    <w:rsid w:val="46794B93"/>
    <w:rsid w:val="467C7AF7"/>
    <w:rsid w:val="467D4684"/>
    <w:rsid w:val="46837726"/>
    <w:rsid w:val="4684510F"/>
    <w:rsid w:val="46853538"/>
    <w:rsid w:val="468601A2"/>
    <w:rsid w:val="46A54238"/>
    <w:rsid w:val="46C04A9F"/>
    <w:rsid w:val="46D00C57"/>
    <w:rsid w:val="46D65D4B"/>
    <w:rsid w:val="46D86981"/>
    <w:rsid w:val="46D92A60"/>
    <w:rsid w:val="46E14854"/>
    <w:rsid w:val="46FE159B"/>
    <w:rsid w:val="473569AE"/>
    <w:rsid w:val="47356D0C"/>
    <w:rsid w:val="473E2065"/>
    <w:rsid w:val="47485DC2"/>
    <w:rsid w:val="47493A0A"/>
    <w:rsid w:val="47590C4D"/>
    <w:rsid w:val="475A49C5"/>
    <w:rsid w:val="47834405"/>
    <w:rsid w:val="47947ED7"/>
    <w:rsid w:val="479752C0"/>
    <w:rsid w:val="47C00A93"/>
    <w:rsid w:val="47CB2FF4"/>
    <w:rsid w:val="47D209FF"/>
    <w:rsid w:val="47D66741"/>
    <w:rsid w:val="480A61E9"/>
    <w:rsid w:val="480D5376"/>
    <w:rsid w:val="48166B3E"/>
    <w:rsid w:val="48176887"/>
    <w:rsid w:val="48203C94"/>
    <w:rsid w:val="4823125B"/>
    <w:rsid w:val="482F7405"/>
    <w:rsid w:val="48345216"/>
    <w:rsid w:val="483F4274"/>
    <w:rsid w:val="483F579B"/>
    <w:rsid w:val="48405417"/>
    <w:rsid w:val="4841161E"/>
    <w:rsid w:val="4849675B"/>
    <w:rsid w:val="485A4A3E"/>
    <w:rsid w:val="48657AC5"/>
    <w:rsid w:val="48684EBF"/>
    <w:rsid w:val="486E697A"/>
    <w:rsid w:val="4870066D"/>
    <w:rsid w:val="48724017"/>
    <w:rsid w:val="48786418"/>
    <w:rsid w:val="48943008"/>
    <w:rsid w:val="489A5A57"/>
    <w:rsid w:val="489D100D"/>
    <w:rsid w:val="48C26CC5"/>
    <w:rsid w:val="48D7562D"/>
    <w:rsid w:val="48E121AE"/>
    <w:rsid w:val="48E64762"/>
    <w:rsid w:val="48F049CD"/>
    <w:rsid w:val="49172E65"/>
    <w:rsid w:val="492F6067"/>
    <w:rsid w:val="493957F4"/>
    <w:rsid w:val="493A685C"/>
    <w:rsid w:val="493C0826"/>
    <w:rsid w:val="4942116A"/>
    <w:rsid w:val="49470F79"/>
    <w:rsid w:val="49507E2D"/>
    <w:rsid w:val="495F1C9E"/>
    <w:rsid w:val="496374AD"/>
    <w:rsid w:val="4965488E"/>
    <w:rsid w:val="49755AE6"/>
    <w:rsid w:val="49935F6C"/>
    <w:rsid w:val="4995033B"/>
    <w:rsid w:val="49971F00"/>
    <w:rsid w:val="49B41856"/>
    <w:rsid w:val="49B760FE"/>
    <w:rsid w:val="49BE123B"/>
    <w:rsid w:val="49CD76D0"/>
    <w:rsid w:val="49D4280C"/>
    <w:rsid w:val="49D95598"/>
    <w:rsid w:val="49DE18DD"/>
    <w:rsid w:val="49EA49F1"/>
    <w:rsid w:val="4A13460A"/>
    <w:rsid w:val="4A2B43F6"/>
    <w:rsid w:val="4A465B32"/>
    <w:rsid w:val="4A5676C5"/>
    <w:rsid w:val="4A6022F2"/>
    <w:rsid w:val="4A607F08"/>
    <w:rsid w:val="4A6B0091"/>
    <w:rsid w:val="4A7A7358"/>
    <w:rsid w:val="4A7B7F95"/>
    <w:rsid w:val="4A835FE1"/>
    <w:rsid w:val="4A962EF1"/>
    <w:rsid w:val="4A975D40"/>
    <w:rsid w:val="4A9D2318"/>
    <w:rsid w:val="4AA246B9"/>
    <w:rsid w:val="4AA30431"/>
    <w:rsid w:val="4AAB4494"/>
    <w:rsid w:val="4AB50890"/>
    <w:rsid w:val="4AC26F45"/>
    <w:rsid w:val="4AC83793"/>
    <w:rsid w:val="4ACD2E49"/>
    <w:rsid w:val="4ADB406F"/>
    <w:rsid w:val="4AFF5FAF"/>
    <w:rsid w:val="4B010985"/>
    <w:rsid w:val="4B0610EB"/>
    <w:rsid w:val="4B2F3F16"/>
    <w:rsid w:val="4B305BCC"/>
    <w:rsid w:val="4B335ADF"/>
    <w:rsid w:val="4B3D0885"/>
    <w:rsid w:val="4B3D33CE"/>
    <w:rsid w:val="4B3F76A8"/>
    <w:rsid w:val="4B4F21AC"/>
    <w:rsid w:val="4B660A70"/>
    <w:rsid w:val="4B6E78DA"/>
    <w:rsid w:val="4B7156C5"/>
    <w:rsid w:val="4B7F49FA"/>
    <w:rsid w:val="4B89742D"/>
    <w:rsid w:val="4BB52B12"/>
    <w:rsid w:val="4BB548C0"/>
    <w:rsid w:val="4BC90463"/>
    <w:rsid w:val="4BD3235E"/>
    <w:rsid w:val="4BE944FA"/>
    <w:rsid w:val="4BFB12E5"/>
    <w:rsid w:val="4BFC104D"/>
    <w:rsid w:val="4C0F4D8D"/>
    <w:rsid w:val="4C1E7B16"/>
    <w:rsid w:val="4C235CCD"/>
    <w:rsid w:val="4C2416B8"/>
    <w:rsid w:val="4C3232CA"/>
    <w:rsid w:val="4C3C065D"/>
    <w:rsid w:val="4C3C28EB"/>
    <w:rsid w:val="4C425E16"/>
    <w:rsid w:val="4C440354"/>
    <w:rsid w:val="4C450EA2"/>
    <w:rsid w:val="4C465796"/>
    <w:rsid w:val="4C4F4501"/>
    <w:rsid w:val="4C5365B2"/>
    <w:rsid w:val="4C60482B"/>
    <w:rsid w:val="4C6562E6"/>
    <w:rsid w:val="4C725B6E"/>
    <w:rsid w:val="4C780EB0"/>
    <w:rsid w:val="4C7F50BD"/>
    <w:rsid w:val="4C8D1398"/>
    <w:rsid w:val="4C981B3B"/>
    <w:rsid w:val="4C9D15DC"/>
    <w:rsid w:val="4CBB291A"/>
    <w:rsid w:val="4CBD7ED0"/>
    <w:rsid w:val="4CC8614A"/>
    <w:rsid w:val="4CC9272E"/>
    <w:rsid w:val="4CE0771A"/>
    <w:rsid w:val="4CE216E4"/>
    <w:rsid w:val="4CF40EE7"/>
    <w:rsid w:val="4CF57293"/>
    <w:rsid w:val="4CFB6302"/>
    <w:rsid w:val="4D0B6790"/>
    <w:rsid w:val="4D381B9E"/>
    <w:rsid w:val="4D3A78FC"/>
    <w:rsid w:val="4D405661"/>
    <w:rsid w:val="4D53613E"/>
    <w:rsid w:val="4D5F62AB"/>
    <w:rsid w:val="4D6D36A4"/>
    <w:rsid w:val="4D844530"/>
    <w:rsid w:val="4D882EB2"/>
    <w:rsid w:val="4D97427D"/>
    <w:rsid w:val="4DA629C5"/>
    <w:rsid w:val="4DB210B7"/>
    <w:rsid w:val="4DB34474"/>
    <w:rsid w:val="4DBD0728"/>
    <w:rsid w:val="4DCD314A"/>
    <w:rsid w:val="4DD24695"/>
    <w:rsid w:val="4DDE76CA"/>
    <w:rsid w:val="4DF22CF1"/>
    <w:rsid w:val="4DF36B3A"/>
    <w:rsid w:val="4E007EC7"/>
    <w:rsid w:val="4E0639B9"/>
    <w:rsid w:val="4E0F02B7"/>
    <w:rsid w:val="4E111FFA"/>
    <w:rsid w:val="4E2D2D0E"/>
    <w:rsid w:val="4E396B61"/>
    <w:rsid w:val="4E710C8E"/>
    <w:rsid w:val="4E9B1B4B"/>
    <w:rsid w:val="4EBD5D34"/>
    <w:rsid w:val="4EBE46D3"/>
    <w:rsid w:val="4EC315F8"/>
    <w:rsid w:val="4EC512BE"/>
    <w:rsid w:val="4ED35788"/>
    <w:rsid w:val="4ED711B6"/>
    <w:rsid w:val="4ED82D9F"/>
    <w:rsid w:val="4EDA1072"/>
    <w:rsid w:val="4EDE412D"/>
    <w:rsid w:val="4EE03017"/>
    <w:rsid w:val="4EE82B24"/>
    <w:rsid w:val="4EF42E36"/>
    <w:rsid w:val="4EF82D04"/>
    <w:rsid w:val="4EFF3BDC"/>
    <w:rsid w:val="4F006834"/>
    <w:rsid w:val="4F18043D"/>
    <w:rsid w:val="4F275AD4"/>
    <w:rsid w:val="4F2A7373"/>
    <w:rsid w:val="4F304989"/>
    <w:rsid w:val="4F354D79"/>
    <w:rsid w:val="4F3C5042"/>
    <w:rsid w:val="4F400520"/>
    <w:rsid w:val="4F4D22EB"/>
    <w:rsid w:val="4F5B577E"/>
    <w:rsid w:val="4F716D4F"/>
    <w:rsid w:val="4F774777"/>
    <w:rsid w:val="4F7C7BCE"/>
    <w:rsid w:val="4F873B5D"/>
    <w:rsid w:val="4F952A3E"/>
    <w:rsid w:val="4F986150"/>
    <w:rsid w:val="4FB02A24"/>
    <w:rsid w:val="4FB0378E"/>
    <w:rsid w:val="4FB10B5F"/>
    <w:rsid w:val="4FB20412"/>
    <w:rsid w:val="4FC32B35"/>
    <w:rsid w:val="4FC779E5"/>
    <w:rsid w:val="4FCB14A9"/>
    <w:rsid w:val="4FD95020"/>
    <w:rsid w:val="4FDF6815"/>
    <w:rsid w:val="4FE17EB1"/>
    <w:rsid w:val="4FF009F3"/>
    <w:rsid w:val="4FFB430F"/>
    <w:rsid w:val="500951DA"/>
    <w:rsid w:val="500F4461"/>
    <w:rsid w:val="50193166"/>
    <w:rsid w:val="502D102F"/>
    <w:rsid w:val="50541961"/>
    <w:rsid w:val="505D1D5B"/>
    <w:rsid w:val="5062451F"/>
    <w:rsid w:val="507A1C34"/>
    <w:rsid w:val="507C59AC"/>
    <w:rsid w:val="50826B6B"/>
    <w:rsid w:val="50A46603"/>
    <w:rsid w:val="50AC6291"/>
    <w:rsid w:val="50AC70B7"/>
    <w:rsid w:val="50AE5C5C"/>
    <w:rsid w:val="50B213CE"/>
    <w:rsid w:val="50C0232C"/>
    <w:rsid w:val="50D60333"/>
    <w:rsid w:val="50E74B07"/>
    <w:rsid w:val="50F6750C"/>
    <w:rsid w:val="5102432F"/>
    <w:rsid w:val="510A6F91"/>
    <w:rsid w:val="510E5C05"/>
    <w:rsid w:val="511A190E"/>
    <w:rsid w:val="511E10AA"/>
    <w:rsid w:val="512027DB"/>
    <w:rsid w:val="512030E3"/>
    <w:rsid w:val="51233D1A"/>
    <w:rsid w:val="512A18AC"/>
    <w:rsid w:val="512A7B60"/>
    <w:rsid w:val="512D12A9"/>
    <w:rsid w:val="513250DD"/>
    <w:rsid w:val="513C382A"/>
    <w:rsid w:val="514B6E1C"/>
    <w:rsid w:val="515F1555"/>
    <w:rsid w:val="517A013D"/>
    <w:rsid w:val="517B4951"/>
    <w:rsid w:val="518409FF"/>
    <w:rsid w:val="51874608"/>
    <w:rsid w:val="519D5BDA"/>
    <w:rsid w:val="51A10A6A"/>
    <w:rsid w:val="51A451BA"/>
    <w:rsid w:val="51B4631B"/>
    <w:rsid w:val="51BA7BE0"/>
    <w:rsid w:val="51BC0756"/>
    <w:rsid w:val="51BC0E1B"/>
    <w:rsid w:val="51D04201"/>
    <w:rsid w:val="51E657D3"/>
    <w:rsid w:val="520A2FBF"/>
    <w:rsid w:val="520C1F56"/>
    <w:rsid w:val="52323573"/>
    <w:rsid w:val="52431750"/>
    <w:rsid w:val="524D5852"/>
    <w:rsid w:val="52530861"/>
    <w:rsid w:val="52666914"/>
    <w:rsid w:val="527E1985"/>
    <w:rsid w:val="52834898"/>
    <w:rsid w:val="52877105"/>
    <w:rsid w:val="528F5E6A"/>
    <w:rsid w:val="529214B7"/>
    <w:rsid w:val="52952D55"/>
    <w:rsid w:val="52976ACD"/>
    <w:rsid w:val="52AB79A0"/>
    <w:rsid w:val="52AC1866"/>
    <w:rsid w:val="52B0041C"/>
    <w:rsid w:val="52B33C09"/>
    <w:rsid w:val="52CC12B6"/>
    <w:rsid w:val="52CF3581"/>
    <w:rsid w:val="52D04B14"/>
    <w:rsid w:val="52E215B7"/>
    <w:rsid w:val="52F1442F"/>
    <w:rsid w:val="531A4B73"/>
    <w:rsid w:val="531A5410"/>
    <w:rsid w:val="531E0C13"/>
    <w:rsid w:val="533407C0"/>
    <w:rsid w:val="533E1C0A"/>
    <w:rsid w:val="53446D3A"/>
    <w:rsid w:val="534D6C18"/>
    <w:rsid w:val="534E1112"/>
    <w:rsid w:val="53791AEF"/>
    <w:rsid w:val="537F5EDF"/>
    <w:rsid w:val="538D059D"/>
    <w:rsid w:val="538F23D3"/>
    <w:rsid w:val="539A3E4F"/>
    <w:rsid w:val="539B25ED"/>
    <w:rsid w:val="539E7860"/>
    <w:rsid w:val="53B93A08"/>
    <w:rsid w:val="53BF540A"/>
    <w:rsid w:val="53C14AF4"/>
    <w:rsid w:val="53C61946"/>
    <w:rsid w:val="53C965C6"/>
    <w:rsid w:val="53D076E0"/>
    <w:rsid w:val="53D77AC9"/>
    <w:rsid w:val="53DA4EC3"/>
    <w:rsid w:val="53DB5859"/>
    <w:rsid w:val="53F1045F"/>
    <w:rsid w:val="53F73CC7"/>
    <w:rsid w:val="54180810"/>
    <w:rsid w:val="54286A5B"/>
    <w:rsid w:val="54290C36"/>
    <w:rsid w:val="542C2120"/>
    <w:rsid w:val="54322F51"/>
    <w:rsid w:val="54442BE5"/>
    <w:rsid w:val="544D6032"/>
    <w:rsid w:val="544E5635"/>
    <w:rsid w:val="54505185"/>
    <w:rsid w:val="545509EE"/>
    <w:rsid w:val="54574766"/>
    <w:rsid w:val="546F0907"/>
    <w:rsid w:val="54703A7A"/>
    <w:rsid w:val="54A20D14"/>
    <w:rsid w:val="54AF54E9"/>
    <w:rsid w:val="54B73456"/>
    <w:rsid w:val="54BA6AA3"/>
    <w:rsid w:val="54BD4419"/>
    <w:rsid w:val="54C618EB"/>
    <w:rsid w:val="54C71954"/>
    <w:rsid w:val="54CC5154"/>
    <w:rsid w:val="54D855FB"/>
    <w:rsid w:val="54F16968"/>
    <w:rsid w:val="54F324F8"/>
    <w:rsid w:val="54F56AEE"/>
    <w:rsid w:val="55005748"/>
    <w:rsid w:val="55016093"/>
    <w:rsid w:val="55083CB2"/>
    <w:rsid w:val="55230AEC"/>
    <w:rsid w:val="552564F5"/>
    <w:rsid w:val="55291416"/>
    <w:rsid w:val="55502629"/>
    <w:rsid w:val="55580986"/>
    <w:rsid w:val="556536D5"/>
    <w:rsid w:val="556A671B"/>
    <w:rsid w:val="55823A64"/>
    <w:rsid w:val="558E2752"/>
    <w:rsid w:val="55A66247"/>
    <w:rsid w:val="55AA2FBB"/>
    <w:rsid w:val="55AE1844"/>
    <w:rsid w:val="55C53951"/>
    <w:rsid w:val="55CA0F67"/>
    <w:rsid w:val="55D1679A"/>
    <w:rsid w:val="55D24012"/>
    <w:rsid w:val="55E72F93"/>
    <w:rsid w:val="55EE4C56"/>
    <w:rsid w:val="55F74755"/>
    <w:rsid w:val="55FE254C"/>
    <w:rsid w:val="5618392E"/>
    <w:rsid w:val="56183A17"/>
    <w:rsid w:val="56215974"/>
    <w:rsid w:val="562E7748"/>
    <w:rsid w:val="563338D8"/>
    <w:rsid w:val="563B6165"/>
    <w:rsid w:val="56586573"/>
    <w:rsid w:val="565C294B"/>
    <w:rsid w:val="565D002E"/>
    <w:rsid w:val="566B021F"/>
    <w:rsid w:val="56772E45"/>
    <w:rsid w:val="56807D15"/>
    <w:rsid w:val="56841C9D"/>
    <w:rsid w:val="569B3DDC"/>
    <w:rsid w:val="56AD6660"/>
    <w:rsid w:val="56BA11CC"/>
    <w:rsid w:val="56C34335"/>
    <w:rsid w:val="56C56522"/>
    <w:rsid w:val="56DD1E71"/>
    <w:rsid w:val="56E31E4E"/>
    <w:rsid w:val="56E542AB"/>
    <w:rsid w:val="56E83D9B"/>
    <w:rsid w:val="56F276D1"/>
    <w:rsid w:val="56FA6A4D"/>
    <w:rsid w:val="57073E59"/>
    <w:rsid w:val="57092F87"/>
    <w:rsid w:val="571E5A0F"/>
    <w:rsid w:val="57345965"/>
    <w:rsid w:val="573623B2"/>
    <w:rsid w:val="57482A8C"/>
    <w:rsid w:val="57496D65"/>
    <w:rsid w:val="574B60D8"/>
    <w:rsid w:val="575F74DF"/>
    <w:rsid w:val="57602B53"/>
    <w:rsid w:val="576F1DC6"/>
    <w:rsid w:val="57791ABF"/>
    <w:rsid w:val="57882E88"/>
    <w:rsid w:val="578A45C6"/>
    <w:rsid w:val="579514C8"/>
    <w:rsid w:val="579641D9"/>
    <w:rsid w:val="57997844"/>
    <w:rsid w:val="57A001D2"/>
    <w:rsid w:val="57B00465"/>
    <w:rsid w:val="57B614F0"/>
    <w:rsid w:val="57C85138"/>
    <w:rsid w:val="57CA52BE"/>
    <w:rsid w:val="57CD3A2F"/>
    <w:rsid w:val="57CD6810"/>
    <w:rsid w:val="57D05633"/>
    <w:rsid w:val="57D86DF8"/>
    <w:rsid w:val="57FC7AA2"/>
    <w:rsid w:val="57FE314A"/>
    <w:rsid w:val="58076037"/>
    <w:rsid w:val="58123ED8"/>
    <w:rsid w:val="581D3E15"/>
    <w:rsid w:val="581D5CC6"/>
    <w:rsid w:val="58211DCB"/>
    <w:rsid w:val="58380457"/>
    <w:rsid w:val="584D5024"/>
    <w:rsid w:val="58564BFE"/>
    <w:rsid w:val="58627AA0"/>
    <w:rsid w:val="5864125C"/>
    <w:rsid w:val="58645D7C"/>
    <w:rsid w:val="586B4C84"/>
    <w:rsid w:val="58727DC0"/>
    <w:rsid w:val="587E1A8C"/>
    <w:rsid w:val="587F6039"/>
    <w:rsid w:val="58920DCF"/>
    <w:rsid w:val="589C4E3D"/>
    <w:rsid w:val="58A5627E"/>
    <w:rsid w:val="58A92AE4"/>
    <w:rsid w:val="58B02697"/>
    <w:rsid w:val="58B24629"/>
    <w:rsid w:val="58B77EC9"/>
    <w:rsid w:val="58CB5722"/>
    <w:rsid w:val="58CE41BF"/>
    <w:rsid w:val="58D81BED"/>
    <w:rsid w:val="58DA7713"/>
    <w:rsid w:val="58DB2DAB"/>
    <w:rsid w:val="58FF53CC"/>
    <w:rsid w:val="590003CE"/>
    <w:rsid w:val="590D7A89"/>
    <w:rsid w:val="591A3C17"/>
    <w:rsid w:val="59227EE3"/>
    <w:rsid w:val="592310BA"/>
    <w:rsid w:val="59396B30"/>
    <w:rsid w:val="593C217C"/>
    <w:rsid w:val="593C4479"/>
    <w:rsid w:val="59486D73"/>
    <w:rsid w:val="596516D3"/>
    <w:rsid w:val="596C464A"/>
    <w:rsid w:val="596D3FE5"/>
    <w:rsid w:val="5971736E"/>
    <w:rsid w:val="597D0B2B"/>
    <w:rsid w:val="599263A7"/>
    <w:rsid w:val="59972FBB"/>
    <w:rsid w:val="59A73A9A"/>
    <w:rsid w:val="59C30C74"/>
    <w:rsid w:val="59C56378"/>
    <w:rsid w:val="59D2334F"/>
    <w:rsid w:val="59D800F7"/>
    <w:rsid w:val="59DE405A"/>
    <w:rsid w:val="59E12A1B"/>
    <w:rsid w:val="59EA7E2A"/>
    <w:rsid w:val="59F44AC1"/>
    <w:rsid w:val="59FA54AE"/>
    <w:rsid w:val="5A0131BB"/>
    <w:rsid w:val="5A0E58C7"/>
    <w:rsid w:val="5A186745"/>
    <w:rsid w:val="5A1C452A"/>
    <w:rsid w:val="5A233D80"/>
    <w:rsid w:val="5A341C39"/>
    <w:rsid w:val="5A3B0686"/>
    <w:rsid w:val="5A543953"/>
    <w:rsid w:val="5A8C0EE1"/>
    <w:rsid w:val="5AA05049"/>
    <w:rsid w:val="5AA1010F"/>
    <w:rsid w:val="5AB56850"/>
    <w:rsid w:val="5AB741B0"/>
    <w:rsid w:val="5AB7532D"/>
    <w:rsid w:val="5AC84400"/>
    <w:rsid w:val="5AD53A92"/>
    <w:rsid w:val="5AE64A95"/>
    <w:rsid w:val="5AF05C17"/>
    <w:rsid w:val="5AFB5744"/>
    <w:rsid w:val="5AFF0AF7"/>
    <w:rsid w:val="5B022F52"/>
    <w:rsid w:val="5B137345"/>
    <w:rsid w:val="5B1909C7"/>
    <w:rsid w:val="5B1B12B4"/>
    <w:rsid w:val="5B267323"/>
    <w:rsid w:val="5B2E2AD7"/>
    <w:rsid w:val="5B2F0C83"/>
    <w:rsid w:val="5B323837"/>
    <w:rsid w:val="5B36489D"/>
    <w:rsid w:val="5B386943"/>
    <w:rsid w:val="5B4377F2"/>
    <w:rsid w:val="5B441647"/>
    <w:rsid w:val="5B6B1421"/>
    <w:rsid w:val="5B6B2B94"/>
    <w:rsid w:val="5B7025B1"/>
    <w:rsid w:val="5B7B3430"/>
    <w:rsid w:val="5B7C4AB2"/>
    <w:rsid w:val="5B856C2B"/>
    <w:rsid w:val="5B871DD5"/>
    <w:rsid w:val="5B90020C"/>
    <w:rsid w:val="5BAA3213"/>
    <w:rsid w:val="5BAF1270"/>
    <w:rsid w:val="5BB07D73"/>
    <w:rsid w:val="5BB22C79"/>
    <w:rsid w:val="5BC92E9F"/>
    <w:rsid w:val="5BCD7A05"/>
    <w:rsid w:val="5BD965CF"/>
    <w:rsid w:val="5BEA0E95"/>
    <w:rsid w:val="5BEE2874"/>
    <w:rsid w:val="5BF705DC"/>
    <w:rsid w:val="5C072A28"/>
    <w:rsid w:val="5C1541B2"/>
    <w:rsid w:val="5C1627A5"/>
    <w:rsid w:val="5C2552DD"/>
    <w:rsid w:val="5C270EC2"/>
    <w:rsid w:val="5C27480E"/>
    <w:rsid w:val="5C2D3FFE"/>
    <w:rsid w:val="5C3E7FB9"/>
    <w:rsid w:val="5C5A5173"/>
    <w:rsid w:val="5C7E5F9A"/>
    <w:rsid w:val="5C875E04"/>
    <w:rsid w:val="5C891358"/>
    <w:rsid w:val="5C9D4973"/>
    <w:rsid w:val="5CD252D1"/>
    <w:rsid w:val="5CE81F53"/>
    <w:rsid w:val="5CE94033"/>
    <w:rsid w:val="5D0257DD"/>
    <w:rsid w:val="5D0631CD"/>
    <w:rsid w:val="5D0A139B"/>
    <w:rsid w:val="5D211DB5"/>
    <w:rsid w:val="5D213E13"/>
    <w:rsid w:val="5D2834C8"/>
    <w:rsid w:val="5D292C92"/>
    <w:rsid w:val="5D467A6D"/>
    <w:rsid w:val="5D4C371E"/>
    <w:rsid w:val="5D591950"/>
    <w:rsid w:val="5D5F468B"/>
    <w:rsid w:val="5D740137"/>
    <w:rsid w:val="5D79574D"/>
    <w:rsid w:val="5D7972C1"/>
    <w:rsid w:val="5D7C4A74"/>
    <w:rsid w:val="5D852344"/>
    <w:rsid w:val="5D900CE9"/>
    <w:rsid w:val="5D972077"/>
    <w:rsid w:val="5D9D1D7A"/>
    <w:rsid w:val="5DAE2391"/>
    <w:rsid w:val="5DB379C1"/>
    <w:rsid w:val="5DBD241C"/>
    <w:rsid w:val="5DC0480E"/>
    <w:rsid w:val="5DDA1336"/>
    <w:rsid w:val="5DDC3826"/>
    <w:rsid w:val="5DDF6A66"/>
    <w:rsid w:val="5DE352BC"/>
    <w:rsid w:val="5DE3706A"/>
    <w:rsid w:val="5E033E21"/>
    <w:rsid w:val="5E1156E5"/>
    <w:rsid w:val="5E19279A"/>
    <w:rsid w:val="5E1C6F55"/>
    <w:rsid w:val="5E1D4A60"/>
    <w:rsid w:val="5E1E4546"/>
    <w:rsid w:val="5E285B31"/>
    <w:rsid w:val="5E2D2B80"/>
    <w:rsid w:val="5E33324B"/>
    <w:rsid w:val="5E355F22"/>
    <w:rsid w:val="5E3E6986"/>
    <w:rsid w:val="5E4509C1"/>
    <w:rsid w:val="5E4A4A6C"/>
    <w:rsid w:val="5E853B80"/>
    <w:rsid w:val="5E880DD1"/>
    <w:rsid w:val="5E8A5738"/>
    <w:rsid w:val="5EB167FB"/>
    <w:rsid w:val="5ED7634B"/>
    <w:rsid w:val="5EE17A4E"/>
    <w:rsid w:val="5EF50D54"/>
    <w:rsid w:val="5F0C2D47"/>
    <w:rsid w:val="5F0C6665"/>
    <w:rsid w:val="5F13397F"/>
    <w:rsid w:val="5F293E84"/>
    <w:rsid w:val="5F2B2A77"/>
    <w:rsid w:val="5F306DCD"/>
    <w:rsid w:val="5F3F29C6"/>
    <w:rsid w:val="5F4A7CDF"/>
    <w:rsid w:val="5F4F59D3"/>
    <w:rsid w:val="5F57404B"/>
    <w:rsid w:val="5F5D7D17"/>
    <w:rsid w:val="5F7C7A10"/>
    <w:rsid w:val="5F8328B3"/>
    <w:rsid w:val="5F8B1768"/>
    <w:rsid w:val="5F8F74AA"/>
    <w:rsid w:val="5F942D12"/>
    <w:rsid w:val="5F9D57F5"/>
    <w:rsid w:val="5F9F3465"/>
    <w:rsid w:val="5FA10F8B"/>
    <w:rsid w:val="5FA8056B"/>
    <w:rsid w:val="5FAA6092"/>
    <w:rsid w:val="5FD026E9"/>
    <w:rsid w:val="5FD4389C"/>
    <w:rsid w:val="5FEF3DBB"/>
    <w:rsid w:val="60006ACA"/>
    <w:rsid w:val="60091A8B"/>
    <w:rsid w:val="60196D73"/>
    <w:rsid w:val="602946C9"/>
    <w:rsid w:val="603218D3"/>
    <w:rsid w:val="60327E35"/>
    <w:rsid w:val="603B4F3C"/>
    <w:rsid w:val="604007A4"/>
    <w:rsid w:val="604116B2"/>
    <w:rsid w:val="60425839"/>
    <w:rsid w:val="60503C5E"/>
    <w:rsid w:val="606A6420"/>
    <w:rsid w:val="607056C5"/>
    <w:rsid w:val="60716BAF"/>
    <w:rsid w:val="607E1D2B"/>
    <w:rsid w:val="60855C29"/>
    <w:rsid w:val="60865038"/>
    <w:rsid w:val="608972FA"/>
    <w:rsid w:val="609B00D0"/>
    <w:rsid w:val="609B3C2C"/>
    <w:rsid w:val="60A96349"/>
    <w:rsid w:val="60B42AD8"/>
    <w:rsid w:val="60BB607C"/>
    <w:rsid w:val="60DB5D6C"/>
    <w:rsid w:val="60ED43F8"/>
    <w:rsid w:val="60F4746A"/>
    <w:rsid w:val="60F71AE2"/>
    <w:rsid w:val="60FE08AF"/>
    <w:rsid w:val="61082EFA"/>
    <w:rsid w:val="610E2DD4"/>
    <w:rsid w:val="6119445B"/>
    <w:rsid w:val="611A2DA3"/>
    <w:rsid w:val="61215678"/>
    <w:rsid w:val="613A3445"/>
    <w:rsid w:val="61412A26"/>
    <w:rsid w:val="614222FA"/>
    <w:rsid w:val="61461DEA"/>
    <w:rsid w:val="614752AA"/>
    <w:rsid w:val="614A440C"/>
    <w:rsid w:val="615838CB"/>
    <w:rsid w:val="615C2F6B"/>
    <w:rsid w:val="615D5FD0"/>
    <w:rsid w:val="616D44D9"/>
    <w:rsid w:val="617050B9"/>
    <w:rsid w:val="617A1A94"/>
    <w:rsid w:val="617B33D3"/>
    <w:rsid w:val="617D6FAE"/>
    <w:rsid w:val="61903065"/>
    <w:rsid w:val="619767AA"/>
    <w:rsid w:val="61A134C4"/>
    <w:rsid w:val="61BE5AA3"/>
    <w:rsid w:val="61BE5D33"/>
    <w:rsid w:val="61BF453C"/>
    <w:rsid w:val="61C274A8"/>
    <w:rsid w:val="61C51146"/>
    <w:rsid w:val="61D6723A"/>
    <w:rsid w:val="61D70C94"/>
    <w:rsid w:val="61D751B7"/>
    <w:rsid w:val="61DA7232"/>
    <w:rsid w:val="61E3588B"/>
    <w:rsid w:val="61EF2482"/>
    <w:rsid w:val="6220426A"/>
    <w:rsid w:val="62210643"/>
    <w:rsid w:val="62246802"/>
    <w:rsid w:val="622709C5"/>
    <w:rsid w:val="622A5268"/>
    <w:rsid w:val="623205C0"/>
    <w:rsid w:val="623334F7"/>
    <w:rsid w:val="623B6096"/>
    <w:rsid w:val="62455561"/>
    <w:rsid w:val="62490E33"/>
    <w:rsid w:val="624C0464"/>
    <w:rsid w:val="624C4A17"/>
    <w:rsid w:val="62611B71"/>
    <w:rsid w:val="62692204"/>
    <w:rsid w:val="62773F76"/>
    <w:rsid w:val="627F1A8B"/>
    <w:rsid w:val="62960B4F"/>
    <w:rsid w:val="6299419B"/>
    <w:rsid w:val="629D0130"/>
    <w:rsid w:val="629E6DD5"/>
    <w:rsid w:val="62A0377C"/>
    <w:rsid w:val="62B44033"/>
    <w:rsid w:val="62B67A23"/>
    <w:rsid w:val="62BD3639"/>
    <w:rsid w:val="62D04BBB"/>
    <w:rsid w:val="62D058DC"/>
    <w:rsid w:val="62D5243B"/>
    <w:rsid w:val="62FD472A"/>
    <w:rsid w:val="63054949"/>
    <w:rsid w:val="63100901"/>
    <w:rsid w:val="6313788F"/>
    <w:rsid w:val="631D649B"/>
    <w:rsid w:val="632779F9"/>
    <w:rsid w:val="6337424F"/>
    <w:rsid w:val="633F11E7"/>
    <w:rsid w:val="63536A40"/>
    <w:rsid w:val="635F7193"/>
    <w:rsid w:val="63724AEA"/>
    <w:rsid w:val="63754B4B"/>
    <w:rsid w:val="637C1836"/>
    <w:rsid w:val="6381436F"/>
    <w:rsid w:val="63857872"/>
    <w:rsid w:val="638B61DA"/>
    <w:rsid w:val="63A23524"/>
    <w:rsid w:val="63A4104A"/>
    <w:rsid w:val="63C96D02"/>
    <w:rsid w:val="63CA0FEF"/>
    <w:rsid w:val="63CB7EBC"/>
    <w:rsid w:val="63CE7946"/>
    <w:rsid w:val="63D00091"/>
    <w:rsid w:val="63DC00B4"/>
    <w:rsid w:val="63E77199"/>
    <w:rsid w:val="63FF7739"/>
    <w:rsid w:val="64024115"/>
    <w:rsid w:val="640305FC"/>
    <w:rsid w:val="64042D4A"/>
    <w:rsid w:val="641E568D"/>
    <w:rsid w:val="642041A2"/>
    <w:rsid w:val="642B6AD0"/>
    <w:rsid w:val="643F6B38"/>
    <w:rsid w:val="644450D9"/>
    <w:rsid w:val="644552C8"/>
    <w:rsid w:val="644F313F"/>
    <w:rsid w:val="64504D2E"/>
    <w:rsid w:val="64601415"/>
    <w:rsid w:val="646355ED"/>
    <w:rsid w:val="6476308F"/>
    <w:rsid w:val="64A02E68"/>
    <w:rsid w:val="64A95DD7"/>
    <w:rsid w:val="64B452BD"/>
    <w:rsid w:val="64BD0615"/>
    <w:rsid w:val="64C011C3"/>
    <w:rsid w:val="64C2194A"/>
    <w:rsid w:val="64C43A77"/>
    <w:rsid w:val="64C51278"/>
    <w:rsid w:val="64D1703E"/>
    <w:rsid w:val="64D94D23"/>
    <w:rsid w:val="64E2464C"/>
    <w:rsid w:val="64E802CB"/>
    <w:rsid w:val="64F132AC"/>
    <w:rsid w:val="64FD3107"/>
    <w:rsid w:val="64FE5952"/>
    <w:rsid w:val="650474C4"/>
    <w:rsid w:val="650779A3"/>
    <w:rsid w:val="65083E6F"/>
    <w:rsid w:val="651B70F3"/>
    <w:rsid w:val="651C2C04"/>
    <w:rsid w:val="651E4728"/>
    <w:rsid w:val="651E4C38"/>
    <w:rsid w:val="65273CE0"/>
    <w:rsid w:val="65366619"/>
    <w:rsid w:val="653D3504"/>
    <w:rsid w:val="6546559F"/>
    <w:rsid w:val="65481415"/>
    <w:rsid w:val="65633BD7"/>
    <w:rsid w:val="65755781"/>
    <w:rsid w:val="65776DCC"/>
    <w:rsid w:val="65882622"/>
    <w:rsid w:val="65A25E72"/>
    <w:rsid w:val="65A417D5"/>
    <w:rsid w:val="65CD2ADA"/>
    <w:rsid w:val="65D06126"/>
    <w:rsid w:val="65DA3840"/>
    <w:rsid w:val="65DC78BE"/>
    <w:rsid w:val="65E25E59"/>
    <w:rsid w:val="65F71FA6"/>
    <w:rsid w:val="65FB4F37"/>
    <w:rsid w:val="65FC17E6"/>
    <w:rsid w:val="66083824"/>
    <w:rsid w:val="660B4149"/>
    <w:rsid w:val="66153B6E"/>
    <w:rsid w:val="66196A74"/>
    <w:rsid w:val="662E161B"/>
    <w:rsid w:val="664B39FF"/>
    <w:rsid w:val="665030E6"/>
    <w:rsid w:val="665705F5"/>
    <w:rsid w:val="6659611C"/>
    <w:rsid w:val="666C363C"/>
    <w:rsid w:val="666D0B4F"/>
    <w:rsid w:val="666D5135"/>
    <w:rsid w:val="66780FD9"/>
    <w:rsid w:val="668A2779"/>
    <w:rsid w:val="66A51956"/>
    <w:rsid w:val="66B071AC"/>
    <w:rsid w:val="66B74AEE"/>
    <w:rsid w:val="66BA02CA"/>
    <w:rsid w:val="66BA63A4"/>
    <w:rsid w:val="66CE6ADB"/>
    <w:rsid w:val="66D25ECE"/>
    <w:rsid w:val="66D55160"/>
    <w:rsid w:val="66DE5627"/>
    <w:rsid w:val="66E36841"/>
    <w:rsid w:val="66E92186"/>
    <w:rsid w:val="66EA7AAC"/>
    <w:rsid w:val="66F04240"/>
    <w:rsid w:val="66FB3677"/>
    <w:rsid w:val="66FC736D"/>
    <w:rsid w:val="67073742"/>
    <w:rsid w:val="670E33AA"/>
    <w:rsid w:val="6716225F"/>
    <w:rsid w:val="67177D85"/>
    <w:rsid w:val="67191D4F"/>
    <w:rsid w:val="671D7FFF"/>
    <w:rsid w:val="67210461"/>
    <w:rsid w:val="672852F9"/>
    <w:rsid w:val="67534AD3"/>
    <w:rsid w:val="675850AA"/>
    <w:rsid w:val="675B2B38"/>
    <w:rsid w:val="675B50ED"/>
    <w:rsid w:val="67657E5F"/>
    <w:rsid w:val="677569AA"/>
    <w:rsid w:val="67804883"/>
    <w:rsid w:val="67853BD3"/>
    <w:rsid w:val="67963918"/>
    <w:rsid w:val="6796514D"/>
    <w:rsid w:val="67A05FCC"/>
    <w:rsid w:val="67A80EAE"/>
    <w:rsid w:val="67A85397"/>
    <w:rsid w:val="67AE395A"/>
    <w:rsid w:val="67BC69DA"/>
    <w:rsid w:val="67C821CB"/>
    <w:rsid w:val="67C92FFF"/>
    <w:rsid w:val="67D01771"/>
    <w:rsid w:val="67D26D6B"/>
    <w:rsid w:val="67D6338E"/>
    <w:rsid w:val="67E10ABE"/>
    <w:rsid w:val="67E22078"/>
    <w:rsid w:val="67E934CF"/>
    <w:rsid w:val="681826B1"/>
    <w:rsid w:val="681B136C"/>
    <w:rsid w:val="681F1331"/>
    <w:rsid w:val="68210D75"/>
    <w:rsid w:val="68244A69"/>
    <w:rsid w:val="682D48D2"/>
    <w:rsid w:val="686666D0"/>
    <w:rsid w:val="686B0388"/>
    <w:rsid w:val="686E1C26"/>
    <w:rsid w:val="687B43FD"/>
    <w:rsid w:val="688704A9"/>
    <w:rsid w:val="688F4E2A"/>
    <w:rsid w:val="68921034"/>
    <w:rsid w:val="68923610"/>
    <w:rsid w:val="68A11FFC"/>
    <w:rsid w:val="68AF1562"/>
    <w:rsid w:val="68B03FED"/>
    <w:rsid w:val="68B17EDD"/>
    <w:rsid w:val="68B76246"/>
    <w:rsid w:val="68D20407"/>
    <w:rsid w:val="68D4417F"/>
    <w:rsid w:val="68D66310"/>
    <w:rsid w:val="68D777CC"/>
    <w:rsid w:val="68D90998"/>
    <w:rsid w:val="68E02D53"/>
    <w:rsid w:val="68E74830"/>
    <w:rsid w:val="690D4E95"/>
    <w:rsid w:val="690D7691"/>
    <w:rsid w:val="69140A20"/>
    <w:rsid w:val="691B0443"/>
    <w:rsid w:val="692223DF"/>
    <w:rsid w:val="692F6E3E"/>
    <w:rsid w:val="69337781"/>
    <w:rsid w:val="693D3822"/>
    <w:rsid w:val="693D52A3"/>
    <w:rsid w:val="694F2FF8"/>
    <w:rsid w:val="695928D6"/>
    <w:rsid w:val="695B208B"/>
    <w:rsid w:val="696355F8"/>
    <w:rsid w:val="696D1EDE"/>
    <w:rsid w:val="698C4A5A"/>
    <w:rsid w:val="698E2E82"/>
    <w:rsid w:val="699624EA"/>
    <w:rsid w:val="699648D8"/>
    <w:rsid w:val="69A813C7"/>
    <w:rsid w:val="69BF20EA"/>
    <w:rsid w:val="69C266CE"/>
    <w:rsid w:val="69CA2416"/>
    <w:rsid w:val="69D02B99"/>
    <w:rsid w:val="69D14FF5"/>
    <w:rsid w:val="69D72179"/>
    <w:rsid w:val="69DA0304"/>
    <w:rsid w:val="69E00902"/>
    <w:rsid w:val="69E57576"/>
    <w:rsid w:val="69ED7AE8"/>
    <w:rsid w:val="69F422D3"/>
    <w:rsid w:val="69F85982"/>
    <w:rsid w:val="6A06480C"/>
    <w:rsid w:val="6A0740E0"/>
    <w:rsid w:val="6A1011E7"/>
    <w:rsid w:val="6A2D45F4"/>
    <w:rsid w:val="6A375EA6"/>
    <w:rsid w:val="6A5319C8"/>
    <w:rsid w:val="6A617C95"/>
    <w:rsid w:val="6A623F6F"/>
    <w:rsid w:val="6A646982"/>
    <w:rsid w:val="6A691E74"/>
    <w:rsid w:val="6A6D6639"/>
    <w:rsid w:val="6A825B97"/>
    <w:rsid w:val="6A892D47"/>
    <w:rsid w:val="6A8B4D12"/>
    <w:rsid w:val="6A941E91"/>
    <w:rsid w:val="6A975464"/>
    <w:rsid w:val="6A9E501D"/>
    <w:rsid w:val="6AAF6C52"/>
    <w:rsid w:val="6AB33BAA"/>
    <w:rsid w:val="6ABF6769"/>
    <w:rsid w:val="6AC00E5F"/>
    <w:rsid w:val="6AC8540E"/>
    <w:rsid w:val="6AD37E99"/>
    <w:rsid w:val="6AD72AF3"/>
    <w:rsid w:val="6B054AC1"/>
    <w:rsid w:val="6B1D3D25"/>
    <w:rsid w:val="6B2313EE"/>
    <w:rsid w:val="6B281DBE"/>
    <w:rsid w:val="6B2A37C2"/>
    <w:rsid w:val="6B300E95"/>
    <w:rsid w:val="6B460C38"/>
    <w:rsid w:val="6B482C03"/>
    <w:rsid w:val="6B4A164A"/>
    <w:rsid w:val="6B581098"/>
    <w:rsid w:val="6B641B0C"/>
    <w:rsid w:val="6B70103A"/>
    <w:rsid w:val="6B753572"/>
    <w:rsid w:val="6B9A364E"/>
    <w:rsid w:val="6BA50055"/>
    <w:rsid w:val="6BAD2A66"/>
    <w:rsid w:val="6BAE305D"/>
    <w:rsid w:val="6BB575A1"/>
    <w:rsid w:val="6BB67B6C"/>
    <w:rsid w:val="6BBB77EC"/>
    <w:rsid w:val="6BBD50DC"/>
    <w:rsid w:val="6BD42688"/>
    <w:rsid w:val="6BD46244"/>
    <w:rsid w:val="6BD87766"/>
    <w:rsid w:val="6BDD5088"/>
    <w:rsid w:val="6BE76BCA"/>
    <w:rsid w:val="6BF3491C"/>
    <w:rsid w:val="6C1A6D3F"/>
    <w:rsid w:val="6C2767C1"/>
    <w:rsid w:val="6C2E1E73"/>
    <w:rsid w:val="6C315D4D"/>
    <w:rsid w:val="6C3450F8"/>
    <w:rsid w:val="6C3709F0"/>
    <w:rsid w:val="6C400F9E"/>
    <w:rsid w:val="6C4038DA"/>
    <w:rsid w:val="6C513BC3"/>
    <w:rsid w:val="6C735A5D"/>
    <w:rsid w:val="6C84748F"/>
    <w:rsid w:val="6C8639E2"/>
    <w:rsid w:val="6C89039C"/>
    <w:rsid w:val="6CA56135"/>
    <w:rsid w:val="6CAC5127"/>
    <w:rsid w:val="6CB054AA"/>
    <w:rsid w:val="6CB57E24"/>
    <w:rsid w:val="6CCE0DE4"/>
    <w:rsid w:val="6CD21480"/>
    <w:rsid w:val="6CD451B2"/>
    <w:rsid w:val="6CEC0F61"/>
    <w:rsid w:val="6CEF3424"/>
    <w:rsid w:val="6CF11151"/>
    <w:rsid w:val="6CF90658"/>
    <w:rsid w:val="6D085854"/>
    <w:rsid w:val="6D090170"/>
    <w:rsid w:val="6D1119DD"/>
    <w:rsid w:val="6D111C92"/>
    <w:rsid w:val="6D1738A3"/>
    <w:rsid w:val="6D190FFA"/>
    <w:rsid w:val="6D2356D5"/>
    <w:rsid w:val="6D2A0812"/>
    <w:rsid w:val="6D32396F"/>
    <w:rsid w:val="6D392803"/>
    <w:rsid w:val="6D48513C"/>
    <w:rsid w:val="6D486EEA"/>
    <w:rsid w:val="6D6C2BD8"/>
    <w:rsid w:val="6D767AA7"/>
    <w:rsid w:val="6D781C0D"/>
    <w:rsid w:val="6D7B2E1B"/>
    <w:rsid w:val="6D7E79C9"/>
    <w:rsid w:val="6D8F032B"/>
    <w:rsid w:val="6D9B75BA"/>
    <w:rsid w:val="6DB32B0A"/>
    <w:rsid w:val="6DB63E53"/>
    <w:rsid w:val="6DC20A4A"/>
    <w:rsid w:val="6DD233D9"/>
    <w:rsid w:val="6DDD7632"/>
    <w:rsid w:val="6DE50BDD"/>
    <w:rsid w:val="6DE9247B"/>
    <w:rsid w:val="6DEA1D4F"/>
    <w:rsid w:val="6DEC510F"/>
    <w:rsid w:val="6DF85526"/>
    <w:rsid w:val="6E097EDB"/>
    <w:rsid w:val="6E26415B"/>
    <w:rsid w:val="6E294219"/>
    <w:rsid w:val="6E374F02"/>
    <w:rsid w:val="6E4419DC"/>
    <w:rsid w:val="6E491648"/>
    <w:rsid w:val="6E4C38E0"/>
    <w:rsid w:val="6E737F96"/>
    <w:rsid w:val="6E7935CC"/>
    <w:rsid w:val="6E7F4B8D"/>
    <w:rsid w:val="6E8A2CB9"/>
    <w:rsid w:val="6E8F581F"/>
    <w:rsid w:val="6E9543B1"/>
    <w:rsid w:val="6EA264E0"/>
    <w:rsid w:val="6EAB1073"/>
    <w:rsid w:val="6EB703E6"/>
    <w:rsid w:val="6EB74327"/>
    <w:rsid w:val="6EC2536B"/>
    <w:rsid w:val="6ECC76A7"/>
    <w:rsid w:val="6EE4337A"/>
    <w:rsid w:val="6EE90259"/>
    <w:rsid w:val="6F0A7A1C"/>
    <w:rsid w:val="6F0F7C3A"/>
    <w:rsid w:val="6F154B91"/>
    <w:rsid w:val="6F295225"/>
    <w:rsid w:val="6F3239AE"/>
    <w:rsid w:val="6F413BF1"/>
    <w:rsid w:val="6F442734"/>
    <w:rsid w:val="6F667AFB"/>
    <w:rsid w:val="6F742582"/>
    <w:rsid w:val="6F751AEC"/>
    <w:rsid w:val="6F77069E"/>
    <w:rsid w:val="6F7B6977"/>
    <w:rsid w:val="6F7C10CD"/>
    <w:rsid w:val="6F817A70"/>
    <w:rsid w:val="6F834209"/>
    <w:rsid w:val="6F881820"/>
    <w:rsid w:val="6F8C215C"/>
    <w:rsid w:val="6F967077"/>
    <w:rsid w:val="6F9E0180"/>
    <w:rsid w:val="6FA6728D"/>
    <w:rsid w:val="6FA7439C"/>
    <w:rsid w:val="6FB32FCE"/>
    <w:rsid w:val="6FB40867"/>
    <w:rsid w:val="6FE729EA"/>
    <w:rsid w:val="6FEA4288"/>
    <w:rsid w:val="6FFE1D38"/>
    <w:rsid w:val="70037C53"/>
    <w:rsid w:val="700A66D9"/>
    <w:rsid w:val="700B5006"/>
    <w:rsid w:val="701E1202"/>
    <w:rsid w:val="703B2187"/>
    <w:rsid w:val="70403CC4"/>
    <w:rsid w:val="705039AE"/>
    <w:rsid w:val="705A0C39"/>
    <w:rsid w:val="706025BB"/>
    <w:rsid w:val="70666B1B"/>
    <w:rsid w:val="70671D7D"/>
    <w:rsid w:val="70716758"/>
    <w:rsid w:val="70781ABD"/>
    <w:rsid w:val="70797E54"/>
    <w:rsid w:val="707B3B0D"/>
    <w:rsid w:val="70944063"/>
    <w:rsid w:val="70A2368D"/>
    <w:rsid w:val="70AA6F37"/>
    <w:rsid w:val="70BB6F1C"/>
    <w:rsid w:val="70D10429"/>
    <w:rsid w:val="70D35BA7"/>
    <w:rsid w:val="70D520BE"/>
    <w:rsid w:val="70D83759"/>
    <w:rsid w:val="70E0776C"/>
    <w:rsid w:val="70E4517B"/>
    <w:rsid w:val="70EA0E91"/>
    <w:rsid w:val="70F8724C"/>
    <w:rsid w:val="710117CA"/>
    <w:rsid w:val="710650F2"/>
    <w:rsid w:val="710737DC"/>
    <w:rsid w:val="71270EAA"/>
    <w:rsid w:val="712D267F"/>
    <w:rsid w:val="71327C95"/>
    <w:rsid w:val="714A1BDB"/>
    <w:rsid w:val="714B44DB"/>
    <w:rsid w:val="716A0153"/>
    <w:rsid w:val="716F0EE9"/>
    <w:rsid w:val="7175092F"/>
    <w:rsid w:val="71753D4F"/>
    <w:rsid w:val="71771B4C"/>
    <w:rsid w:val="71823F4B"/>
    <w:rsid w:val="7182739F"/>
    <w:rsid w:val="718E4ED4"/>
    <w:rsid w:val="71961F3E"/>
    <w:rsid w:val="71AA3CCF"/>
    <w:rsid w:val="71B168C7"/>
    <w:rsid w:val="71B40089"/>
    <w:rsid w:val="71B7406A"/>
    <w:rsid w:val="71D90A58"/>
    <w:rsid w:val="71DB186E"/>
    <w:rsid w:val="71E03B95"/>
    <w:rsid w:val="71E64E5B"/>
    <w:rsid w:val="71ED0060"/>
    <w:rsid w:val="71F1040D"/>
    <w:rsid w:val="71F72789"/>
    <w:rsid w:val="71FB4EDE"/>
    <w:rsid w:val="720209CD"/>
    <w:rsid w:val="720B59FC"/>
    <w:rsid w:val="72111FA0"/>
    <w:rsid w:val="72192883"/>
    <w:rsid w:val="721E28CD"/>
    <w:rsid w:val="721F3475"/>
    <w:rsid w:val="72216C09"/>
    <w:rsid w:val="722D66AE"/>
    <w:rsid w:val="722F578A"/>
    <w:rsid w:val="723B6CBE"/>
    <w:rsid w:val="7242753B"/>
    <w:rsid w:val="7243162A"/>
    <w:rsid w:val="72534367"/>
    <w:rsid w:val="72566E3A"/>
    <w:rsid w:val="72942F50"/>
    <w:rsid w:val="72952BD1"/>
    <w:rsid w:val="72C135F3"/>
    <w:rsid w:val="72D15CD8"/>
    <w:rsid w:val="72DD1E82"/>
    <w:rsid w:val="72EE5C30"/>
    <w:rsid w:val="72F00B64"/>
    <w:rsid w:val="72F773E8"/>
    <w:rsid w:val="732D4BB8"/>
    <w:rsid w:val="73307204"/>
    <w:rsid w:val="73364734"/>
    <w:rsid w:val="73397CB6"/>
    <w:rsid w:val="73401B22"/>
    <w:rsid w:val="73430E86"/>
    <w:rsid w:val="73555EBD"/>
    <w:rsid w:val="7363682B"/>
    <w:rsid w:val="7364387C"/>
    <w:rsid w:val="73775DA3"/>
    <w:rsid w:val="739015EB"/>
    <w:rsid w:val="739764D5"/>
    <w:rsid w:val="73A56E44"/>
    <w:rsid w:val="73AD6E0C"/>
    <w:rsid w:val="73B2342E"/>
    <w:rsid w:val="73B76B77"/>
    <w:rsid w:val="73CB617F"/>
    <w:rsid w:val="73D97F7F"/>
    <w:rsid w:val="73DD4830"/>
    <w:rsid w:val="740121CB"/>
    <w:rsid w:val="740906C0"/>
    <w:rsid w:val="740D62C5"/>
    <w:rsid w:val="74135DE1"/>
    <w:rsid w:val="741875D6"/>
    <w:rsid w:val="7419513C"/>
    <w:rsid w:val="741C69DA"/>
    <w:rsid w:val="741D6653"/>
    <w:rsid w:val="74275AAB"/>
    <w:rsid w:val="742835D1"/>
    <w:rsid w:val="742E5DA2"/>
    <w:rsid w:val="74444A20"/>
    <w:rsid w:val="744D2876"/>
    <w:rsid w:val="744F0B5E"/>
    <w:rsid w:val="747B5DF7"/>
    <w:rsid w:val="74891F58"/>
    <w:rsid w:val="748C1DB2"/>
    <w:rsid w:val="749D40B3"/>
    <w:rsid w:val="749E7433"/>
    <w:rsid w:val="74A215D5"/>
    <w:rsid w:val="74AE4AB7"/>
    <w:rsid w:val="74B053FA"/>
    <w:rsid w:val="74CB1103"/>
    <w:rsid w:val="74CC6A25"/>
    <w:rsid w:val="74CD7755"/>
    <w:rsid w:val="74D25DEC"/>
    <w:rsid w:val="74DD260E"/>
    <w:rsid w:val="74E05C5A"/>
    <w:rsid w:val="7504114E"/>
    <w:rsid w:val="75084D1C"/>
    <w:rsid w:val="750A6957"/>
    <w:rsid w:val="751A0EF3"/>
    <w:rsid w:val="75273816"/>
    <w:rsid w:val="75387844"/>
    <w:rsid w:val="753A35BC"/>
    <w:rsid w:val="754B7577"/>
    <w:rsid w:val="75581C94"/>
    <w:rsid w:val="75632F5B"/>
    <w:rsid w:val="757179AB"/>
    <w:rsid w:val="757C3BD5"/>
    <w:rsid w:val="758E3908"/>
    <w:rsid w:val="7598323C"/>
    <w:rsid w:val="75B01AD0"/>
    <w:rsid w:val="75B42875"/>
    <w:rsid w:val="75B96BD7"/>
    <w:rsid w:val="75D453C0"/>
    <w:rsid w:val="75D7653C"/>
    <w:rsid w:val="75E8126A"/>
    <w:rsid w:val="75EC4D96"/>
    <w:rsid w:val="75F249EA"/>
    <w:rsid w:val="75FF35CC"/>
    <w:rsid w:val="760C0482"/>
    <w:rsid w:val="760D0CD1"/>
    <w:rsid w:val="762251EF"/>
    <w:rsid w:val="76260469"/>
    <w:rsid w:val="762808F7"/>
    <w:rsid w:val="763111BA"/>
    <w:rsid w:val="76392337"/>
    <w:rsid w:val="766F7295"/>
    <w:rsid w:val="76756ED2"/>
    <w:rsid w:val="767B20DE"/>
    <w:rsid w:val="767B2A4F"/>
    <w:rsid w:val="76831927"/>
    <w:rsid w:val="768865A9"/>
    <w:rsid w:val="76B756BB"/>
    <w:rsid w:val="76CA0970"/>
    <w:rsid w:val="76CC46E8"/>
    <w:rsid w:val="76DC51A7"/>
    <w:rsid w:val="76E539FB"/>
    <w:rsid w:val="77027A9C"/>
    <w:rsid w:val="7711659E"/>
    <w:rsid w:val="771C70B5"/>
    <w:rsid w:val="771F2A69"/>
    <w:rsid w:val="77214CDF"/>
    <w:rsid w:val="77244524"/>
    <w:rsid w:val="77274014"/>
    <w:rsid w:val="772E6428"/>
    <w:rsid w:val="773C5BCD"/>
    <w:rsid w:val="77420E4E"/>
    <w:rsid w:val="7748383E"/>
    <w:rsid w:val="7752194F"/>
    <w:rsid w:val="77535F65"/>
    <w:rsid w:val="7758446F"/>
    <w:rsid w:val="775B7ED8"/>
    <w:rsid w:val="775C5C1C"/>
    <w:rsid w:val="77610B61"/>
    <w:rsid w:val="77635B31"/>
    <w:rsid w:val="77844FC2"/>
    <w:rsid w:val="77940678"/>
    <w:rsid w:val="779C67B0"/>
    <w:rsid w:val="77AA5BF5"/>
    <w:rsid w:val="77B425C1"/>
    <w:rsid w:val="77B84C6C"/>
    <w:rsid w:val="77BA4E88"/>
    <w:rsid w:val="77BB5C56"/>
    <w:rsid w:val="77CE238B"/>
    <w:rsid w:val="77D9530E"/>
    <w:rsid w:val="77DC5A84"/>
    <w:rsid w:val="77F57C6E"/>
    <w:rsid w:val="77FA7033"/>
    <w:rsid w:val="78112822"/>
    <w:rsid w:val="78144598"/>
    <w:rsid w:val="78146346"/>
    <w:rsid w:val="78162D44"/>
    <w:rsid w:val="78164ECD"/>
    <w:rsid w:val="78186E4E"/>
    <w:rsid w:val="782E2E36"/>
    <w:rsid w:val="783267CC"/>
    <w:rsid w:val="7847671C"/>
    <w:rsid w:val="78542BE7"/>
    <w:rsid w:val="786462F1"/>
    <w:rsid w:val="786D5A56"/>
    <w:rsid w:val="786E2876"/>
    <w:rsid w:val="78727511"/>
    <w:rsid w:val="787B4C82"/>
    <w:rsid w:val="787D213D"/>
    <w:rsid w:val="78961451"/>
    <w:rsid w:val="78967725"/>
    <w:rsid w:val="78A20D27"/>
    <w:rsid w:val="78AC657F"/>
    <w:rsid w:val="78AF6766"/>
    <w:rsid w:val="78D36201"/>
    <w:rsid w:val="78D463A2"/>
    <w:rsid w:val="78E026CC"/>
    <w:rsid w:val="78E33F6B"/>
    <w:rsid w:val="78E9671B"/>
    <w:rsid w:val="78F10436"/>
    <w:rsid w:val="78F1786E"/>
    <w:rsid w:val="78F20FA0"/>
    <w:rsid w:val="79077C59"/>
    <w:rsid w:val="79223887"/>
    <w:rsid w:val="792445FB"/>
    <w:rsid w:val="795141AE"/>
    <w:rsid w:val="795477B9"/>
    <w:rsid w:val="795D7D8E"/>
    <w:rsid w:val="799B331F"/>
    <w:rsid w:val="79BA6FFF"/>
    <w:rsid w:val="79C06D42"/>
    <w:rsid w:val="79C501A7"/>
    <w:rsid w:val="79C5354D"/>
    <w:rsid w:val="79CA7C82"/>
    <w:rsid w:val="79CD4BFB"/>
    <w:rsid w:val="79F53F55"/>
    <w:rsid w:val="7A041F5D"/>
    <w:rsid w:val="7A1518D5"/>
    <w:rsid w:val="7A2E48F4"/>
    <w:rsid w:val="7A3727C0"/>
    <w:rsid w:val="7A3D7FD3"/>
    <w:rsid w:val="7A3E30F0"/>
    <w:rsid w:val="7A493096"/>
    <w:rsid w:val="7A53754B"/>
    <w:rsid w:val="7A5E2EFC"/>
    <w:rsid w:val="7A5F0950"/>
    <w:rsid w:val="7A865624"/>
    <w:rsid w:val="7AA745C8"/>
    <w:rsid w:val="7AAA518F"/>
    <w:rsid w:val="7AAC3971"/>
    <w:rsid w:val="7ABE4C8F"/>
    <w:rsid w:val="7AC80992"/>
    <w:rsid w:val="7ACA4EA1"/>
    <w:rsid w:val="7ACE6045"/>
    <w:rsid w:val="7AE223ED"/>
    <w:rsid w:val="7AF02A57"/>
    <w:rsid w:val="7AF3392A"/>
    <w:rsid w:val="7AF44109"/>
    <w:rsid w:val="7AF82B52"/>
    <w:rsid w:val="7AFB6DD1"/>
    <w:rsid w:val="7AFC73DC"/>
    <w:rsid w:val="7B085604"/>
    <w:rsid w:val="7B0A57DF"/>
    <w:rsid w:val="7B0E6473"/>
    <w:rsid w:val="7B0F4CEE"/>
    <w:rsid w:val="7B117D66"/>
    <w:rsid w:val="7B1C22C6"/>
    <w:rsid w:val="7B1F4F74"/>
    <w:rsid w:val="7B491100"/>
    <w:rsid w:val="7B560BA4"/>
    <w:rsid w:val="7B713590"/>
    <w:rsid w:val="7B741EA2"/>
    <w:rsid w:val="7B8055FE"/>
    <w:rsid w:val="7B813267"/>
    <w:rsid w:val="7B845950"/>
    <w:rsid w:val="7B886DA3"/>
    <w:rsid w:val="7B9555F2"/>
    <w:rsid w:val="7BA16B13"/>
    <w:rsid w:val="7BA34050"/>
    <w:rsid w:val="7BB212F5"/>
    <w:rsid w:val="7BB74208"/>
    <w:rsid w:val="7BBA359F"/>
    <w:rsid w:val="7BC03153"/>
    <w:rsid w:val="7BC2430B"/>
    <w:rsid w:val="7BC85C80"/>
    <w:rsid w:val="7BCE0C7B"/>
    <w:rsid w:val="7BE948BD"/>
    <w:rsid w:val="7BE97AEA"/>
    <w:rsid w:val="7C01484C"/>
    <w:rsid w:val="7C022CF4"/>
    <w:rsid w:val="7C136915"/>
    <w:rsid w:val="7C1A6678"/>
    <w:rsid w:val="7C255B16"/>
    <w:rsid w:val="7C2B1EEE"/>
    <w:rsid w:val="7C2F6B37"/>
    <w:rsid w:val="7C314481"/>
    <w:rsid w:val="7C3A6542"/>
    <w:rsid w:val="7C3B2774"/>
    <w:rsid w:val="7C3E32D5"/>
    <w:rsid w:val="7C4372FD"/>
    <w:rsid w:val="7C4B60AF"/>
    <w:rsid w:val="7C4C65D3"/>
    <w:rsid w:val="7C6929D9"/>
    <w:rsid w:val="7C697D5D"/>
    <w:rsid w:val="7C731B3E"/>
    <w:rsid w:val="7C770419"/>
    <w:rsid w:val="7C7B2E38"/>
    <w:rsid w:val="7C824DED"/>
    <w:rsid w:val="7C960B6E"/>
    <w:rsid w:val="7C9E0E63"/>
    <w:rsid w:val="7CA04D1C"/>
    <w:rsid w:val="7CC16371"/>
    <w:rsid w:val="7CC44DC4"/>
    <w:rsid w:val="7CC62DA1"/>
    <w:rsid w:val="7CCB5811"/>
    <w:rsid w:val="7CD02F43"/>
    <w:rsid w:val="7CD44433"/>
    <w:rsid w:val="7CEA339A"/>
    <w:rsid w:val="7CF87C2C"/>
    <w:rsid w:val="7CFD7144"/>
    <w:rsid w:val="7D04751D"/>
    <w:rsid w:val="7D060228"/>
    <w:rsid w:val="7D0746CC"/>
    <w:rsid w:val="7D0A6F7F"/>
    <w:rsid w:val="7D0B1BF6"/>
    <w:rsid w:val="7D115A06"/>
    <w:rsid w:val="7D1E2BC7"/>
    <w:rsid w:val="7D3C0E1B"/>
    <w:rsid w:val="7D3E7492"/>
    <w:rsid w:val="7D4144A6"/>
    <w:rsid w:val="7D47294D"/>
    <w:rsid w:val="7D7A0A07"/>
    <w:rsid w:val="7D807FDA"/>
    <w:rsid w:val="7D8B1BAF"/>
    <w:rsid w:val="7D913A5E"/>
    <w:rsid w:val="7D9500D3"/>
    <w:rsid w:val="7D9A5540"/>
    <w:rsid w:val="7D9D6DDE"/>
    <w:rsid w:val="7DBF6D54"/>
    <w:rsid w:val="7DC160CD"/>
    <w:rsid w:val="7DC97BD3"/>
    <w:rsid w:val="7DCA07C4"/>
    <w:rsid w:val="7DD6584C"/>
    <w:rsid w:val="7DDB7967"/>
    <w:rsid w:val="7DEA3824"/>
    <w:rsid w:val="7DF448B5"/>
    <w:rsid w:val="7DFA769B"/>
    <w:rsid w:val="7E0632DE"/>
    <w:rsid w:val="7E0806FB"/>
    <w:rsid w:val="7E0B01EB"/>
    <w:rsid w:val="7E0D145B"/>
    <w:rsid w:val="7E1A3ECA"/>
    <w:rsid w:val="7E245524"/>
    <w:rsid w:val="7E2D0162"/>
    <w:rsid w:val="7E385C9F"/>
    <w:rsid w:val="7E3F14AF"/>
    <w:rsid w:val="7E435A93"/>
    <w:rsid w:val="7E561461"/>
    <w:rsid w:val="7E5D49AA"/>
    <w:rsid w:val="7E6A5C54"/>
    <w:rsid w:val="7E7B34A1"/>
    <w:rsid w:val="7E7F2526"/>
    <w:rsid w:val="7E8D03C2"/>
    <w:rsid w:val="7E8D29AE"/>
    <w:rsid w:val="7E9C5B14"/>
    <w:rsid w:val="7EA91007"/>
    <w:rsid w:val="7EAB53F4"/>
    <w:rsid w:val="7EAF773F"/>
    <w:rsid w:val="7EBA6535"/>
    <w:rsid w:val="7EBE2030"/>
    <w:rsid w:val="7EBF13B5"/>
    <w:rsid w:val="7EC72101"/>
    <w:rsid w:val="7ECD724F"/>
    <w:rsid w:val="7EE06F82"/>
    <w:rsid w:val="7EE12CFA"/>
    <w:rsid w:val="7EE176A0"/>
    <w:rsid w:val="7EE36925"/>
    <w:rsid w:val="7EF23159"/>
    <w:rsid w:val="7F0111CE"/>
    <w:rsid w:val="7F022551"/>
    <w:rsid w:val="7F032C71"/>
    <w:rsid w:val="7F0864D9"/>
    <w:rsid w:val="7F126098"/>
    <w:rsid w:val="7F390F10"/>
    <w:rsid w:val="7F3D43D5"/>
    <w:rsid w:val="7F403EC5"/>
    <w:rsid w:val="7F52451D"/>
    <w:rsid w:val="7F531E4A"/>
    <w:rsid w:val="7F5834B1"/>
    <w:rsid w:val="7F593B76"/>
    <w:rsid w:val="7F5D4A77"/>
    <w:rsid w:val="7F7067F1"/>
    <w:rsid w:val="7F7818B1"/>
    <w:rsid w:val="7F836B7A"/>
    <w:rsid w:val="7F871EDA"/>
    <w:rsid w:val="7F926330"/>
    <w:rsid w:val="7F963AE5"/>
    <w:rsid w:val="7FA426A6"/>
    <w:rsid w:val="7FA52B74"/>
    <w:rsid w:val="7FBB179D"/>
    <w:rsid w:val="7FC00B62"/>
    <w:rsid w:val="7FC70142"/>
    <w:rsid w:val="7FC71EF0"/>
    <w:rsid w:val="7FCA19E0"/>
    <w:rsid w:val="7FCB38C0"/>
    <w:rsid w:val="7FD16D2F"/>
    <w:rsid w:val="7FDF723A"/>
    <w:rsid w:val="E76CC3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spacing w:before="100" w:beforeAutospacing="1" w:after="100" w:afterAutospacing="1"/>
      <w:jc w:val="left"/>
      <w:outlineLvl w:val="0"/>
    </w:pPr>
    <w:rPr>
      <w:rFonts w:hint="eastAsia" w:ascii="宋体" w:hAnsi="宋体"/>
      <w:kern w:val="44"/>
      <w:sz w:val="48"/>
      <w:szCs w:val="48"/>
    </w:rPr>
  </w:style>
  <w:style w:type="paragraph" w:styleId="8">
    <w:name w:val="heading 2"/>
    <w:basedOn w:val="1"/>
    <w:next w:val="1"/>
    <w:link w:val="46"/>
    <w:qFormat/>
    <w:uiPriority w:val="0"/>
    <w:pPr>
      <w:keepNext/>
      <w:keepLines/>
      <w:spacing w:line="360" w:lineRule="auto"/>
      <w:outlineLvl w:val="1"/>
    </w:pPr>
    <w:rPr>
      <w:rFonts w:ascii="Arial" w:hAnsi="Arial"/>
      <w:b/>
      <w:bCs/>
      <w:sz w:val="24"/>
      <w:szCs w:val="32"/>
    </w:rPr>
  </w:style>
  <w:style w:type="paragraph" w:styleId="9">
    <w:name w:val="heading 3"/>
    <w:basedOn w:val="1"/>
    <w:next w:val="1"/>
    <w:link w:val="47"/>
    <w:qFormat/>
    <w:uiPriority w:val="0"/>
    <w:pPr>
      <w:keepNext/>
      <w:keepLines/>
      <w:spacing w:before="260" w:after="260" w:line="408" w:lineRule="auto"/>
      <w:outlineLvl w:val="2"/>
    </w:pPr>
    <w:rPr>
      <w:b/>
      <w:bCs/>
      <w:sz w:val="32"/>
      <w:szCs w:val="32"/>
    </w:rPr>
  </w:style>
  <w:style w:type="paragraph" w:styleId="10">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spacing w:before="100" w:beforeAutospacing="1"/>
      <w:ind w:firstLine="420" w:firstLineChars="200"/>
    </w:pPr>
    <w:rPr>
      <w:rFonts w:ascii="Times New Roman" w:hAnsi="Times New Roman"/>
      <w:szCs w:val="21"/>
    </w:rPr>
  </w:style>
  <w:style w:type="paragraph" w:styleId="3">
    <w:name w:val="Body Text Indent"/>
    <w:basedOn w:val="1"/>
    <w:next w:val="4"/>
    <w:link w:val="49"/>
    <w:qFormat/>
    <w:uiPriority w:val="0"/>
    <w:pPr>
      <w:spacing w:after="120"/>
      <w:ind w:left="420" w:leftChars="200"/>
    </w:pPr>
    <w:rPr>
      <w:rFonts w:ascii="宋体" w:hAnsi="宋体"/>
    </w:rPr>
  </w:style>
  <w:style w:type="paragraph" w:styleId="4">
    <w:name w:val="annotation subject"/>
    <w:basedOn w:val="5"/>
    <w:next w:val="1"/>
    <w:qFormat/>
    <w:uiPriority w:val="0"/>
    <w:rPr>
      <w:rFonts w:ascii="Times New Roman" w:hAnsi="Times New Roman"/>
      <w:b/>
      <w:bCs/>
    </w:rPr>
  </w:style>
  <w:style w:type="paragraph" w:styleId="5">
    <w:name w:val="annotation text"/>
    <w:basedOn w:val="1"/>
    <w:link w:val="48"/>
    <w:qFormat/>
    <w:uiPriority w:val="0"/>
    <w:pPr>
      <w:jc w:val="left"/>
    </w:pPr>
    <w:rPr>
      <w:rFonts w:ascii="宋体" w:hAnsi="宋体"/>
    </w:rPr>
  </w:style>
  <w:style w:type="paragraph" w:customStyle="1" w:styleId="6">
    <w:name w:val="正文1"/>
    <w:qFormat/>
    <w:uiPriority w:val="0"/>
    <w:pPr>
      <w:jc w:val="both"/>
    </w:pPr>
    <w:rPr>
      <w:rFonts w:ascii="Times New Roman" w:hAnsi="Times New Roman" w:eastAsia="宋体" w:cs="Times New Roman"/>
      <w:kern w:val="2"/>
      <w:sz w:val="21"/>
      <w:szCs w:val="21"/>
      <w:lang w:val="en-US" w:eastAsia="zh-CN" w:bidi="ar-SA"/>
    </w:rPr>
  </w:style>
  <w:style w:type="paragraph" w:styleId="11">
    <w:name w:val="toc 7"/>
    <w:basedOn w:val="1"/>
    <w:next w:val="1"/>
    <w:qFormat/>
    <w:uiPriority w:val="0"/>
    <w:pPr>
      <w:ind w:left="2520" w:leftChars="1200"/>
    </w:pPr>
  </w:style>
  <w:style w:type="paragraph" w:styleId="12">
    <w:name w:val="Normal Indent"/>
    <w:basedOn w:val="1"/>
    <w:next w:val="13"/>
    <w:qFormat/>
    <w:uiPriority w:val="0"/>
    <w:pPr>
      <w:ind w:firstLine="420" w:firstLineChars="200"/>
    </w:pPr>
  </w:style>
  <w:style w:type="paragraph" w:customStyle="1" w:styleId="1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4">
    <w:name w:val="Body Text"/>
    <w:basedOn w:val="1"/>
    <w:next w:val="15"/>
    <w:qFormat/>
    <w:uiPriority w:val="0"/>
    <w:pPr>
      <w:spacing w:after="120"/>
    </w:pPr>
    <w:rPr>
      <w:rFonts w:ascii="Calibri" w:hAnsi="Calibri"/>
    </w:rPr>
  </w:style>
  <w:style w:type="paragraph" w:styleId="15">
    <w:name w:val="Body Text First Indent"/>
    <w:basedOn w:val="14"/>
    <w:next w:val="1"/>
    <w:qFormat/>
    <w:uiPriority w:val="0"/>
    <w:pPr>
      <w:ind w:firstLine="100" w:firstLineChars="100"/>
    </w:pPr>
  </w:style>
  <w:style w:type="paragraph" w:styleId="16">
    <w:name w:val="toc 5"/>
    <w:basedOn w:val="1"/>
    <w:next w:val="1"/>
    <w:qFormat/>
    <w:uiPriority w:val="0"/>
    <w:pPr>
      <w:ind w:left="1680" w:leftChars="800"/>
    </w:pPr>
  </w:style>
  <w:style w:type="paragraph" w:styleId="17">
    <w:name w:val="toc 3"/>
    <w:basedOn w:val="1"/>
    <w:next w:val="1"/>
    <w:qFormat/>
    <w:uiPriority w:val="39"/>
    <w:pPr>
      <w:spacing w:line="280" w:lineRule="exact"/>
      <w:ind w:left="400" w:leftChars="400"/>
    </w:pPr>
    <w:rPr>
      <w:rFonts w:ascii="Calibri" w:hAnsi="Calibri"/>
      <w:i/>
      <w:sz w:val="18"/>
    </w:rPr>
  </w:style>
  <w:style w:type="paragraph" w:styleId="18">
    <w:name w:val="Plain Text"/>
    <w:basedOn w:val="1"/>
    <w:link w:val="50"/>
    <w:qFormat/>
    <w:uiPriority w:val="0"/>
    <w:rPr>
      <w:rFonts w:ascii="宋体" w:hAnsi="Courier New" w:cs="Courier New"/>
      <w:szCs w:val="21"/>
    </w:rPr>
  </w:style>
  <w:style w:type="paragraph" w:styleId="19">
    <w:name w:val="toc 8"/>
    <w:basedOn w:val="1"/>
    <w:next w:val="1"/>
    <w:qFormat/>
    <w:uiPriority w:val="0"/>
    <w:pPr>
      <w:ind w:left="2940" w:leftChars="1400"/>
    </w:pPr>
  </w:style>
  <w:style w:type="paragraph" w:styleId="20">
    <w:name w:val="Date"/>
    <w:basedOn w:val="1"/>
    <w:next w:val="1"/>
    <w:link w:val="51"/>
    <w:qFormat/>
    <w:uiPriority w:val="0"/>
    <w:pPr>
      <w:ind w:left="100" w:leftChars="2500"/>
    </w:pPr>
  </w:style>
  <w:style w:type="paragraph" w:styleId="21">
    <w:name w:val="Body Text Indent 2"/>
    <w:basedOn w:val="1"/>
    <w:next w:val="22"/>
    <w:link w:val="52"/>
    <w:qFormat/>
    <w:uiPriority w:val="0"/>
    <w:pPr>
      <w:spacing w:after="120" w:line="480" w:lineRule="auto"/>
      <w:ind w:left="420" w:leftChars="200"/>
    </w:pPr>
  </w:style>
  <w:style w:type="paragraph" w:styleId="22">
    <w:name w:val="header"/>
    <w:basedOn w:val="1"/>
    <w:link w:val="54"/>
    <w:qFormat/>
    <w:uiPriority w:val="0"/>
    <w:pPr>
      <w:pBdr>
        <w:bottom w:val="thickThinSmallGap" w:color="auto" w:sz="12" w:space="1"/>
      </w:pBdr>
      <w:tabs>
        <w:tab w:val="center" w:pos="4153"/>
        <w:tab w:val="right" w:pos="8306"/>
      </w:tabs>
      <w:snapToGrid w:val="0"/>
      <w:jc w:val="center"/>
    </w:pPr>
    <w:rPr>
      <w:sz w:val="18"/>
      <w:szCs w:val="18"/>
    </w:rPr>
  </w:style>
  <w:style w:type="paragraph" w:styleId="23">
    <w:name w:val="Balloon Text"/>
    <w:basedOn w:val="1"/>
    <w:qFormat/>
    <w:uiPriority w:val="0"/>
    <w:rPr>
      <w:rFonts w:ascii="Calibri" w:hAnsi="Calibri"/>
      <w:sz w:val="18"/>
      <w:szCs w:val="18"/>
    </w:rPr>
  </w:style>
  <w:style w:type="paragraph" w:styleId="24">
    <w:name w:val="footer"/>
    <w:basedOn w:val="1"/>
    <w:link w:val="53"/>
    <w:qFormat/>
    <w:uiPriority w:val="0"/>
    <w:pPr>
      <w:tabs>
        <w:tab w:val="center" w:pos="4153"/>
        <w:tab w:val="right" w:pos="8306"/>
      </w:tabs>
      <w:snapToGrid w:val="0"/>
      <w:jc w:val="left"/>
    </w:pPr>
    <w:rPr>
      <w:sz w:val="18"/>
      <w:szCs w:val="18"/>
    </w:rPr>
  </w:style>
  <w:style w:type="paragraph" w:styleId="25">
    <w:name w:val="toc 1"/>
    <w:basedOn w:val="1"/>
    <w:next w:val="1"/>
    <w:qFormat/>
    <w:uiPriority w:val="39"/>
    <w:pPr>
      <w:spacing w:beforeLines="50" w:line="400" w:lineRule="exact"/>
    </w:pPr>
    <w:rPr>
      <w:rFonts w:ascii="Calibri" w:hAnsi="Calibri" w:eastAsia="黑体"/>
      <w:sz w:val="24"/>
    </w:rPr>
  </w:style>
  <w:style w:type="paragraph" w:styleId="26">
    <w:name w:val="toc 4"/>
    <w:basedOn w:val="1"/>
    <w:next w:val="1"/>
    <w:qFormat/>
    <w:uiPriority w:val="39"/>
    <w:pPr>
      <w:ind w:left="1260" w:leftChars="600"/>
    </w:pPr>
  </w:style>
  <w:style w:type="paragraph" w:styleId="27">
    <w:name w:val="toc 6"/>
    <w:basedOn w:val="1"/>
    <w:next w:val="1"/>
    <w:qFormat/>
    <w:uiPriority w:val="0"/>
    <w:pPr>
      <w:ind w:left="2100" w:leftChars="1000"/>
    </w:pPr>
  </w:style>
  <w:style w:type="paragraph" w:styleId="28">
    <w:name w:val="toc 2"/>
    <w:basedOn w:val="1"/>
    <w:next w:val="1"/>
    <w:qFormat/>
    <w:uiPriority w:val="39"/>
    <w:pPr>
      <w:spacing w:line="360" w:lineRule="exact"/>
      <w:ind w:left="200" w:leftChars="200"/>
    </w:pPr>
    <w:rPr>
      <w:rFonts w:ascii="Calibri" w:hAnsi="Calibri"/>
    </w:rPr>
  </w:style>
  <w:style w:type="paragraph" w:styleId="29">
    <w:name w:val="toc 9"/>
    <w:basedOn w:val="1"/>
    <w:next w:val="1"/>
    <w:qFormat/>
    <w:uiPriority w:val="0"/>
    <w:pPr>
      <w:ind w:left="3360" w:leftChars="1600"/>
    </w:p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rFonts w:ascii="Calibri" w:hAnsi="Calibri" w:eastAsia="宋体" w:cs="Times New Roman"/>
      <w:b/>
      <w:bCs/>
    </w:rPr>
  </w:style>
  <w:style w:type="character" w:styleId="35">
    <w:name w:val="page number"/>
    <w:basedOn w:val="33"/>
    <w:qFormat/>
    <w:uiPriority w:val="0"/>
    <w:rPr>
      <w:rFonts w:ascii="Calibri" w:hAnsi="Calibri" w:eastAsia="宋体" w:cs="Times New Roman"/>
    </w:rPr>
  </w:style>
  <w:style w:type="character" w:styleId="36">
    <w:name w:val="FollowedHyperlink"/>
    <w:qFormat/>
    <w:uiPriority w:val="0"/>
    <w:rPr>
      <w:rFonts w:ascii="Calibri" w:hAnsi="Calibri" w:eastAsia="宋体" w:cs="Times New Roman"/>
      <w:color w:val="4183C4"/>
      <w:u w:val="none"/>
    </w:rPr>
  </w:style>
  <w:style w:type="character" w:styleId="37">
    <w:name w:val="Emphasis"/>
    <w:qFormat/>
    <w:uiPriority w:val="0"/>
    <w:rPr>
      <w:rFonts w:ascii="Calibri" w:hAnsi="Calibri" w:eastAsia="宋体" w:cs="Times New Roman"/>
    </w:rPr>
  </w:style>
  <w:style w:type="character" w:styleId="38">
    <w:name w:val="HTML Definition"/>
    <w:qFormat/>
    <w:uiPriority w:val="0"/>
    <w:rPr>
      <w:rFonts w:ascii="Calibri" w:hAnsi="Calibri" w:eastAsia="宋体" w:cs="Times New Roman"/>
      <w:i/>
    </w:rPr>
  </w:style>
  <w:style w:type="character" w:styleId="39">
    <w:name w:val="Hyperlink"/>
    <w:qFormat/>
    <w:uiPriority w:val="99"/>
    <w:rPr>
      <w:rFonts w:ascii="Calibri" w:hAnsi="Calibri" w:eastAsia="宋体" w:cs="Times New Roman"/>
      <w:color w:val="0000FF"/>
      <w:u w:val="single"/>
    </w:rPr>
  </w:style>
  <w:style w:type="character" w:styleId="40">
    <w:name w:val="HTML Code"/>
    <w:qFormat/>
    <w:uiPriority w:val="0"/>
    <w:rPr>
      <w:rFonts w:ascii="monospace" w:hAnsi="monospace" w:eastAsia="monospace" w:cs="monospace"/>
      <w:sz w:val="21"/>
      <w:szCs w:val="21"/>
    </w:rPr>
  </w:style>
  <w:style w:type="character" w:styleId="41">
    <w:name w:val="annotation reference"/>
    <w:qFormat/>
    <w:uiPriority w:val="0"/>
    <w:rPr>
      <w:rFonts w:ascii="Calibri" w:hAnsi="Calibri" w:eastAsia="宋体" w:cs="Times New Roman"/>
      <w:sz w:val="21"/>
      <w:szCs w:val="21"/>
    </w:rPr>
  </w:style>
  <w:style w:type="character" w:styleId="42">
    <w:name w:val="HTML Keyboard"/>
    <w:qFormat/>
    <w:uiPriority w:val="0"/>
    <w:rPr>
      <w:rFonts w:hint="default" w:ascii="monospace" w:hAnsi="monospace" w:eastAsia="monospace" w:cs="monospace"/>
      <w:sz w:val="21"/>
      <w:szCs w:val="21"/>
    </w:rPr>
  </w:style>
  <w:style w:type="character" w:styleId="43">
    <w:name w:val="HTML Sample"/>
    <w:qFormat/>
    <w:uiPriority w:val="0"/>
    <w:rPr>
      <w:rFonts w:hint="default" w:ascii="monospace" w:hAnsi="monospace" w:eastAsia="monospace" w:cs="monospace"/>
      <w:sz w:val="21"/>
      <w:szCs w:val="21"/>
    </w:rPr>
  </w:style>
  <w:style w:type="paragraph" w:customStyle="1" w:styleId="44">
    <w:name w:val="正文首行缩进1"/>
    <w:basedOn w:val="1"/>
    <w:qFormat/>
    <w:uiPriority w:val="99"/>
    <w:pPr>
      <w:spacing w:after="120"/>
      <w:ind w:firstLine="420" w:firstLineChars="100"/>
    </w:pPr>
  </w:style>
  <w:style w:type="paragraph" w:customStyle="1" w:styleId="45">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标题 2 字符"/>
    <w:link w:val="8"/>
    <w:qFormat/>
    <w:uiPriority w:val="0"/>
    <w:rPr>
      <w:rFonts w:ascii="Arial" w:hAnsi="Arial" w:eastAsia="宋体" w:cs="Times New Roman"/>
      <w:b/>
      <w:bCs/>
      <w:kern w:val="2"/>
      <w:sz w:val="24"/>
      <w:szCs w:val="32"/>
      <w:lang w:val="en-US" w:eastAsia="zh-CN" w:bidi="ar-SA"/>
    </w:rPr>
  </w:style>
  <w:style w:type="character" w:customStyle="1" w:styleId="47">
    <w:name w:val="标题 3 字符"/>
    <w:link w:val="9"/>
    <w:qFormat/>
    <w:uiPriority w:val="0"/>
    <w:rPr>
      <w:rFonts w:ascii="Calibri" w:hAnsi="Calibri" w:eastAsia="宋体" w:cs="Times New Roman"/>
      <w:b/>
      <w:bCs/>
      <w:kern w:val="2"/>
      <w:sz w:val="32"/>
      <w:szCs w:val="32"/>
      <w:lang w:val="en-US" w:eastAsia="zh-CN" w:bidi="ar-SA"/>
    </w:rPr>
  </w:style>
  <w:style w:type="character" w:customStyle="1" w:styleId="48">
    <w:name w:val="批注文字 字符"/>
    <w:link w:val="5"/>
    <w:qFormat/>
    <w:uiPriority w:val="0"/>
    <w:rPr>
      <w:rFonts w:ascii="宋体" w:hAnsi="宋体" w:eastAsia="宋体" w:cs="Times New Roman"/>
      <w:kern w:val="2"/>
      <w:sz w:val="21"/>
      <w:szCs w:val="24"/>
      <w:lang w:val="en-US" w:eastAsia="zh-CN" w:bidi="ar-SA"/>
    </w:rPr>
  </w:style>
  <w:style w:type="character" w:customStyle="1" w:styleId="49">
    <w:name w:val="正文文本缩进 字符"/>
    <w:link w:val="3"/>
    <w:qFormat/>
    <w:uiPriority w:val="0"/>
    <w:rPr>
      <w:rFonts w:ascii="宋体" w:hAnsi="宋体" w:eastAsia="宋体" w:cs="Times New Roman"/>
      <w:kern w:val="2"/>
      <w:sz w:val="21"/>
      <w:szCs w:val="24"/>
      <w:lang w:val="en-US" w:eastAsia="zh-CN" w:bidi="ar-SA"/>
    </w:rPr>
  </w:style>
  <w:style w:type="character" w:customStyle="1" w:styleId="50">
    <w:name w:val="纯文本 字符"/>
    <w:link w:val="18"/>
    <w:qFormat/>
    <w:uiPriority w:val="0"/>
    <w:rPr>
      <w:rFonts w:ascii="宋体" w:hAnsi="Courier New" w:eastAsia="宋体" w:cs="Courier New"/>
      <w:kern w:val="2"/>
      <w:sz w:val="21"/>
      <w:szCs w:val="21"/>
      <w:lang w:val="en-US" w:eastAsia="zh-CN" w:bidi="ar-SA"/>
    </w:rPr>
  </w:style>
  <w:style w:type="character" w:customStyle="1" w:styleId="51">
    <w:name w:val="日期 字符"/>
    <w:link w:val="20"/>
    <w:qFormat/>
    <w:uiPriority w:val="0"/>
    <w:rPr>
      <w:rFonts w:ascii="Calibri" w:hAnsi="Calibri" w:eastAsia="宋体"/>
      <w:kern w:val="2"/>
      <w:sz w:val="21"/>
      <w:szCs w:val="24"/>
      <w:lang w:val="en-US" w:eastAsia="zh-CN" w:bidi="ar-SA"/>
    </w:rPr>
  </w:style>
  <w:style w:type="character" w:customStyle="1" w:styleId="52">
    <w:name w:val="正文文本缩进 2 字符"/>
    <w:link w:val="21"/>
    <w:qFormat/>
    <w:uiPriority w:val="0"/>
    <w:rPr>
      <w:rFonts w:ascii="Calibri" w:hAnsi="Calibri" w:eastAsia="宋体" w:cs="Times New Roman"/>
      <w:kern w:val="2"/>
      <w:sz w:val="21"/>
      <w:szCs w:val="24"/>
      <w:lang w:bidi="ar-SA"/>
    </w:rPr>
  </w:style>
  <w:style w:type="character" w:customStyle="1" w:styleId="53">
    <w:name w:val="页脚 字符"/>
    <w:link w:val="24"/>
    <w:qFormat/>
    <w:uiPriority w:val="0"/>
    <w:rPr>
      <w:rFonts w:ascii="Calibri" w:hAnsi="Calibri" w:eastAsia="宋体" w:cs="Times New Roman"/>
      <w:kern w:val="2"/>
      <w:sz w:val="18"/>
      <w:szCs w:val="18"/>
      <w:lang w:val="en-US" w:eastAsia="zh-CN" w:bidi="ar-SA"/>
    </w:rPr>
  </w:style>
  <w:style w:type="character" w:customStyle="1" w:styleId="54">
    <w:name w:val="页眉 字符"/>
    <w:link w:val="22"/>
    <w:qFormat/>
    <w:uiPriority w:val="0"/>
    <w:rPr>
      <w:rFonts w:ascii="Calibri" w:hAnsi="Calibri" w:eastAsia="宋体" w:cs="Times New Roman"/>
      <w:kern w:val="2"/>
      <w:sz w:val="18"/>
      <w:szCs w:val="18"/>
      <w:lang w:val="en-US" w:eastAsia="zh-CN" w:bidi="ar-SA"/>
    </w:rPr>
  </w:style>
  <w:style w:type="character" w:customStyle="1" w:styleId="55">
    <w:name w:val="Font Style126"/>
    <w:qFormat/>
    <w:uiPriority w:val="0"/>
    <w:rPr>
      <w:rFonts w:hint="eastAsia" w:ascii="宋体" w:hAnsi="宋体" w:eastAsia="宋体" w:cs="Times New Roman"/>
      <w:b/>
      <w:spacing w:val="-30"/>
      <w:sz w:val="28"/>
    </w:rPr>
  </w:style>
  <w:style w:type="character" w:customStyle="1" w:styleId="56">
    <w:name w:val="Char Char17"/>
    <w:qFormat/>
    <w:uiPriority w:val="0"/>
    <w:rPr>
      <w:rFonts w:ascii="宋体" w:hAnsi="Courier New" w:eastAsia="宋体" w:cs="Courier New"/>
      <w:kern w:val="2"/>
      <w:sz w:val="21"/>
      <w:szCs w:val="21"/>
      <w:lang w:val="en-US" w:eastAsia="zh-CN" w:bidi="ar-SA"/>
    </w:rPr>
  </w:style>
  <w:style w:type="character" w:customStyle="1" w:styleId="57">
    <w:name w:val="Font Style115"/>
    <w:qFormat/>
    <w:uiPriority w:val="0"/>
    <w:rPr>
      <w:rFonts w:hint="eastAsia" w:ascii="Times New Roman" w:hAnsi="Times New Roman" w:eastAsia="Times New Roman" w:cs="Times New Roman"/>
      <w:sz w:val="16"/>
    </w:rPr>
  </w:style>
  <w:style w:type="character" w:customStyle="1" w:styleId="58">
    <w:name w:val="Font Style125"/>
    <w:qFormat/>
    <w:uiPriority w:val="0"/>
    <w:rPr>
      <w:rFonts w:hint="eastAsia" w:ascii="宋体" w:hAnsi="宋体" w:eastAsia="宋体" w:cs="Times New Roman"/>
      <w:b/>
      <w:sz w:val="26"/>
    </w:rPr>
  </w:style>
  <w:style w:type="character" w:customStyle="1" w:styleId="59">
    <w:name w:val="PageNumber"/>
    <w:qFormat/>
    <w:uiPriority w:val="0"/>
    <w:rPr>
      <w:lang w:val="en-US" w:eastAsia="zh-CN" w:bidi="ar-SA"/>
    </w:rPr>
  </w:style>
  <w:style w:type="character" w:customStyle="1" w:styleId="60">
    <w:name w:val="NormalCharacter"/>
    <w:qFormat/>
    <w:uiPriority w:val="0"/>
    <w:rPr>
      <w:kern w:val="2"/>
      <w:sz w:val="21"/>
      <w:szCs w:val="24"/>
      <w:lang w:val="en-US" w:eastAsia="zh-CN" w:bidi="ar-SA"/>
    </w:rPr>
  </w:style>
  <w:style w:type="character" w:customStyle="1" w:styleId="61">
    <w:name w:val="placard-notice"/>
    <w:qFormat/>
    <w:uiPriority w:val="0"/>
    <w:rPr>
      <w:rFonts w:ascii="Calibri" w:hAnsi="Calibri" w:eastAsia="宋体" w:cs="Times New Roman"/>
      <w:sz w:val="18"/>
      <w:szCs w:val="18"/>
    </w:rPr>
  </w:style>
  <w:style w:type="character" w:customStyle="1" w:styleId="62">
    <w:name w:val="content_2"/>
    <w:qFormat/>
    <w:uiPriority w:val="0"/>
    <w:rPr>
      <w:rFonts w:ascii="Calibri" w:hAnsi="Calibri" w:eastAsia="宋体" w:cs="Times New Roman"/>
    </w:rPr>
  </w:style>
  <w:style w:type="character" w:customStyle="1" w:styleId="63">
    <w:name w:val="title_2"/>
    <w:qFormat/>
    <w:uiPriority w:val="0"/>
    <w:rPr>
      <w:rFonts w:ascii="Calibri" w:hAnsi="Calibri" w:eastAsia="宋体" w:cs="Times New Roman"/>
    </w:rPr>
  </w:style>
  <w:style w:type="character" w:customStyle="1" w:styleId="64">
    <w:name w:val="Font Style94"/>
    <w:qFormat/>
    <w:uiPriority w:val="0"/>
    <w:rPr>
      <w:rFonts w:hint="eastAsia" w:ascii="Times New Roman" w:hAnsi="Times New Roman" w:eastAsia="Times New Roman" w:cs="Times New Roman"/>
      <w:sz w:val="28"/>
    </w:rPr>
  </w:style>
  <w:style w:type="character" w:customStyle="1" w:styleId="65">
    <w:name w:val="p0 Char"/>
    <w:link w:val="66"/>
    <w:qFormat/>
    <w:uiPriority w:val="0"/>
    <w:rPr>
      <w:rFonts w:ascii="宋体" w:hAnsi="宋体" w:eastAsia="宋体" w:cs="Times New Roman"/>
      <w:sz w:val="21"/>
      <w:szCs w:val="21"/>
      <w:lang w:val="en-US" w:eastAsia="zh-CN" w:bidi="ar-SA"/>
    </w:rPr>
  </w:style>
  <w:style w:type="paragraph" w:customStyle="1" w:styleId="66">
    <w:name w:val="p0"/>
    <w:basedOn w:val="1"/>
    <w:link w:val="65"/>
    <w:qFormat/>
    <w:uiPriority w:val="0"/>
    <w:pPr>
      <w:widowControl/>
    </w:pPr>
    <w:rPr>
      <w:rFonts w:ascii="宋体" w:hAnsi="宋体"/>
      <w:kern w:val="0"/>
      <w:szCs w:val="21"/>
    </w:rPr>
  </w:style>
  <w:style w:type="character" w:customStyle="1" w:styleId="67">
    <w:name w:val="17"/>
    <w:qFormat/>
    <w:uiPriority w:val="0"/>
    <w:rPr>
      <w:rFonts w:hint="default" w:ascii="Times New Roman" w:hAnsi="Times New Roman" w:eastAsia="宋体" w:cs="Times New Roman"/>
      <w:sz w:val="16"/>
      <w:szCs w:val="16"/>
    </w:rPr>
  </w:style>
  <w:style w:type="character" w:customStyle="1" w:styleId="68">
    <w:name w:val="Char Char19"/>
    <w:qFormat/>
    <w:uiPriority w:val="0"/>
    <w:rPr>
      <w:rFonts w:ascii="Calibri" w:hAnsi="Calibri" w:eastAsia="宋体" w:cs="Times New Roman"/>
      <w:kern w:val="2"/>
      <w:sz w:val="21"/>
      <w:szCs w:val="24"/>
      <w:lang w:val="en-US" w:eastAsia="zh-CN" w:bidi="ar-SA"/>
    </w:rPr>
  </w:style>
  <w:style w:type="character" w:customStyle="1" w:styleId="69">
    <w:name w:val="content_1"/>
    <w:qFormat/>
    <w:uiPriority w:val="0"/>
    <w:rPr>
      <w:rFonts w:ascii="Calibri" w:hAnsi="Calibri" w:eastAsia="宋体" w:cs="Times New Roman"/>
    </w:rPr>
  </w:style>
  <w:style w:type="character" w:customStyle="1" w:styleId="70">
    <w:name w:val="15"/>
    <w:qFormat/>
    <w:uiPriority w:val="0"/>
    <w:rPr>
      <w:rFonts w:hint="default" w:ascii="Times New Roman" w:hAnsi="Times New Roman" w:eastAsia="宋体" w:cs="Times New Roman"/>
      <w:b/>
      <w:bCs/>
    </w:rPr>
  </w:style>
  <w:style w:type="character" w:customStyle="1" w:styleId="71">
    <w:name w:val="Char Char4"/>
    <w:qFormat/>
    <w:uiPriority w:val="0"/>
    <w:rPr>
      <w:rFonts w:ascii="宋体" w:hAnsi="宋体" w:eastAsia="宋体" w:cs="Times New Roman"/>
      <w:kern w:val="2"/>
      <w:sz w:val="21"/>
      <w:szCs w:val="24"/>
      <w:lang w:val="en-US" w:eastAsia="zh-CN" w:bidi="ar-SA"/>
    </w:rPr>
  </w:style>
  <w:style w:type="character" w:customStyle="1" w:styleId="72">
    <w:name w:val="content"/>
    <w:qFormat/>
    <w:uiPriority w:val="0"/>
    <w:rPr>
      <w:rFonts w:ascii="Calibri" w:hAnsi="Calibri" w:eastAsia="宋体" w:cs="Times New Roman"/>
    </w:rPr>
  </w:style>
  <w:style w:type="character" w:customStyle="1" w:styleId="73">
    <w:name w:val="18"/>
    <w:qFormat/>
    <w:uiPriority w:val="0"/>
    <w:rPr>
      <w:rFonts w:hint="eastAsia" w:ascii="宋体" w:hAnsi="宋体" w:eastAsia="宋体" w:cs="Times New Roman"/>
      <w:spacing w:val="30"/>
      <w:sz w:val="24"/>
      <w:szCs w:val="24"/>
    </w:rPr>
  </w:style>
  <w:style w:type="character" w:customStyle="1" w:styleId="74">
    <w:name w:val="Font Style124"/>
    <w:qFormat/>
    <w:uiPriority w:val="0"/>
    <w:rPr>
      <w:rFonts w:hint="eastAsia" w:ascii="宋体" w:hAnsi="宋体" w:eastAsia="宋体" w:cs="Times New Roman"/>
      <w:spacing w:val="30"/>
      <w:sz w:val="24"/>
    </w:rPr>
  </w:style>
  <w:style w:type="character" w:customStyle="1" w:styleId="75">
    <w:name w:val="16"/>
    <w:qFormat/>
    <w:uiPriority w:val="0"/>
    <w:rPr>
      <w:rFonts w:hint="default" w:ascii="Times New Roman" w:hAnsi="Times New Roman" w:eastAsia="宋体" w:cs="Times New Roman"/>
      <w:sz w:val="28"/>
      <w:szCs w:val="28"/>
    </w:rPr>
  </w:style>
  <w:style w:type="character" w:customStyle="1" w:styleId="76">
    <w:name w:val="xl23"/>
    <w:qFormat/>
    <w:uiPriority w:val="0"/>
    <w:rPr>
      <w:rFonts w:ascii="Calibri" w:hAnsi="Calibri" w:eastAsia="宋体" w:cs="Times New Roman"/>
    </w:rPr>
  </w:style>
  <w:style w:type="paragraph" w:customStyle="1" w:styleId="77">
    <w:name w:val="_Style 3"/>
    <w:basedOn w:val="1"/>
    <w:qFormat/>
    <w:uiPriority w:val="0"/>
    <w:pPr>
      <w:ind w:firstLine="420"/>
    </w:pPr>
    <w:rPr>
      <w:rFonts w:ascii="Calibri" w:hAnsi="Calibri"/>
      <w:szCs w:val="22"/>
    </w:rPr>
  </w:style>
  <w:style w:type="paragraph" w:customStyle="1" w:styleId="78">
    <w:name w:val="正文 A"/>
    <w:qFormat/>
    <w:uiPriority w:val="0"/>
    <w:pPr>
      <w:widowControl w:val="0"/>
      <w:jc w:val="both"/>
    </w:pPr>
    <w:rPr>
      <w:rFonts w:ascii="Times New Roman" w:hAnsi="Times New Roman" w:eastAsia="Calibri" w:cs="Calibri"/>
      <w:color w:val="000000"/>
      <w:kern w:val="2"/>
      <w:sz w:val="21"/>
      <w:szCs w:val="21"/>
      <w:lang w:val="en-US" w:eastAsia="zh-CN" w:bidi="ar-SA"/>
    </w:rPr>
  </w:style>
  <w:style w:type="paragraph" w:customStyle="1" w:styleId="79">
    <w:name w:val="Heading1"/>
    <w:basedOn w:val="1"/>
    <w:next w:val="1"/>
    <w:qFormat/>
    <w:uiPriority w:val="0"/>
    <w:pPr>
      <w:keepNext/>
      <w:jc w:val="center"/>
      <w:textAlignment w:val="baseline"/>
    </w:pPr>
    <w:rPr>
      <w:b/>
      <w:bCs/>
      <w:sz w:val="24"/>
      <w:szCs w:val="20"/>
    </w:rPr>
  </w:style>
  <w:style w:type="paragraph" w:customStyle="1" w:styleId="80">
    <w:name w:val="PlainText"/>
    <w:basedOn w:val="1"/>
    <w:qFormat/>
    <w:uiPriority w:val="0"/>
    <w:pPr>
      <w:textAlignment w:val="baseline"/>
    </w:pPr>
    <w:rPr>
      <w:rFonts w:ascii="宋体" w:hAnsi="Courier New"/>
      <w:szCs w:val="21"/>
    </w:rPr>
  </w:style>
  <w:style w:type="paragraph" w:customStyle="1" w:styleId="81">
    <w:name w:val="列出段落1"/>
    <w:basedOn w:val="1"/>
    <w:qFormat/>
    <w:uiPriority w:val="0"/>
    <w:pPr>
      <w:spacing w:line="460" w:lineRule="exact"/>
      <w:ind w:firstLine="420" w:firstLineChars="200"/>
    </w:pPr>
    <w:rPr>
      <w:rFonts w:ascii="Calibri" w:hAnsi="Calibri"/>
      <w:spacing w:val="6"/>
      <w:sz w:val="24"/>
    </w:rPr>
  </w:style>
  <w:style w:type="paragraph" w:customStyle="1" w:styleId="82">
    <w:name w:val="列表段落1"/>
    <w:basedOn w:val="1"/>
    <w:qFormat/>
    <w:uiPriority w:val="0"/>
    <w:pPr>
      <w:ind w:firstLine="420" w:firstLineChars="200"/>
    </w:pPr>
    <w:rPr>
      <w:rFonts w:ascii="MyanbingST" w:hAnsi="MyanbingST" w:cs="MyanbingST"/>
    </w:rPr>
  </w:style>
  <w:style w:type="paragraph" w:customStyle="1" w:styleId="83">
    <w:name w:val="目录 81"/>
    <w:basedOn w:val="1"/>
    <w:next w:val="1"/>
    <w:qFormat/>
    <w:uiPriority w:val="0"/>
    <w:pPr>
      <w:ind w:left="2940"/>
    </w:pPr>
  </w:style>
  <w:style w:type="paragraph" w:customStyle="1" w:styleId="84">
    <w:name w:val="样式6"/>
    <w:basedOn w:val="1"/>
    <w:qFormat/>
    <w:uiPriority w:val="0"/>
    <w:pPr>
      <w:pBdr>
        <w:top w:val="single" w:color="auto" w:sz="4" w:space="1"/>
      </w:pBdr>
    </w:pPr>
    <w:rPr>
      <w:rFonts w:ascii="Calibri" w:hAnsi="Calibri"/>
    </w:rPr>
  </w:style>
  <w:style w:type="paragraph" w:customStyle="1" w:styleId="85">
    <w:name w:val="普通(网站)1"/>
    <w:basedOn w:val="1"/>
    <w:qFormat/>
    <w:uiPriority w:val="0"/>
    <w:pPr>
      <w:widowControl/>
      <w:spacing w:before="100" w:beforeAutospacing="1" w:after="100" w:afterAutospacing="1" w:line="360" w:lineRule="auto"/>
      <w:jc w:val="left"/>
    </w:pPr>
    <w:rPr>
      <w:rFonts w:ascii="宋体" w:hAnsi="宋体"/>
      <w:color w:val="333333"/>
      <w:kern w:val="0"/>
      <w:sz w:val="24"/>
    </w:rPr>
  </w:style>
  <w:style w:type="paragraph" w:customStyle="1" w:styleId="86">
    <w:name w:val="列出段落2"/>
    <w:basedOn w:val="1"/>
    <w:qFormat/>
    <w:uiPriority w:val="0"/>
    <w:pPr>
      <w:ind w:firstLine="420" w:firstLineChars="200"/>
    </w:pPr>
  </w:style>
  <w:style w:type="paragraph" w:customStyle="1" w:styleId="87">
    <w:name w:val="Table Paragraph"/>
    <w:basedOn w:val="1"/>
    <w:qFormat/>
    <w:uiPriority w:val="0"/>
    <w:pPr>
      <w:spacing w:before="100" w:beforeAutospacing="1"/>
      <w:jc w:val="left"/>
    </w:pPr>
    <w:rPr>
      <w:rFonts w:ascii="Calibri" w:hAnsi="Calibri" w:cs="Arial"/>
      <w:kern w:val="0"/>
      <w:sz w:val="22"/>
      <w:szCs w:val="22"/>
    </w:rPr>
  </w:style>
  <w:style w:type="paragraph" w:customStyle="1" w:styleId="88">
    <w:name w:val="列出段落11"/>
    <w:basedOn w:val="1"/>
    <w:qFormat/>
    <w:uiPriority w:val="0"/>
    <w:pPr>
      <w:ind w:firstLine="420" w:firstLineChars="200"/>
    </w:pPr>
  </w:style>
  <w:style w:type="paragraph" w:customStyle="1" w:styleId="89">
    <w:name w:val="缺省文本"/>
    <w:basedOn w:val="1"/>
    <w:qFormat/>
    <w:uiPriority w:val="0"/>
    <w:pPr>
      <w:autoSpaceDE w:val="0"/>
      <w:autoSpaceDN w:val="0"/>
      <w:adjustRightInd w:val="0"/>
      <w:jc w:val="left"/>
    </w:pPr>
    <w:rPr>
      <w:rFonts w:ascii="Calibri" w:hAnsi="Calibri"/>
      <w:kern w:val="0"/>
      <w:sz w:val="24"/>
    </w:rPr>
  </w:style>
  <w:style w:type="paragraph" w:customStyle="1" w:styleId="90">
    <w:name w:val="Style34"/>
    <w:basedOn w:val="1"/>
    <w:qFormat/>
    <w:uiPriority w:val="0"/>
    <w:pPr>
      <w:spacing w:line="375" w:lineRule="exact"/>
    </w:pPr>
    <w:rPr>
      <w:rFonts w:ascii="Calibri" w:hAnsi="Calibri"/>
    </w:rPr>
  </w:style>
  <w:style w:type="paragraph" w:customStyle="1" w:styleId="91">
    <w:name w:val="Normal_0"/>
    <w:qFormat/>
    <w:uiPriority w:val="0"/>
    <w:rPr>
      <w:rFonts w:ascii="Times New Roman" w:hAnsi="Times New Roman" w:eastAsia="Times New Roman" w:cs="Times New Roman"/>
      <w:sz w:val="24"/>
      <w:szCs w:val="24"/>
      <w:lang w:val="en-US" w:eastAsia="zh-CN" w:bidi="ar-SA"/>
    </w:rPr>
  </w:style>
  <w:style w:type="paragraph" w:styleId="92">
    <w:name w:val="List Paragraph"/>
    <w:basedOn w:val="1"/>
    <w:qFormat/>
    <w:uiPriority w:val="34"/>
    <w:pPr>
      <w:widowControl/>
      <w:adjustRightInd w:val="0"/>
      <w:snapToGrid w:val="0"/>
      <w:spacing w:after="200"/>
      <w:ind w:firstLine="420" w:firstLineChars="200"/>
      <w:jc w:val="left"/>
    </w:pPr>
    <w:rPr>
      <w:rFonts w:ascii="Tahoma" w:hAnsi="Tahoma" w:eastAsia="仿宋"/>
      <w:kern w:val="0"/>
      <w:sz w:val="28"/>
      <w:szCs w:val="22"/>
    </w:rPr>
  </w:style>
  <w:style w:type="paragraph" w:customStyle="1" w:styleId="93">
    <w:name w:val="首行缩进"/>
    <w:basedOn w:val="1"/>
    <w:qFormat/>
    <w:uiPriority w:val="0"/>
    <w:pPr>
      <w:ind w:firstLine="480" w:firstLineChars="200"/>
    </w:pPr>
    <w:rPr>
      <w:lang w:val="zh-CN"/>
    </w:rPr>
  </w:style>
  <w:style w:type="paragraph" w:customStyle="1" w:styleId="94">
    <w:name w:val="_Style 91"/>
    <w:basedOn w:val="1"/>
    <w:next w:val="92"/>
    <w:qFormat/>
    <w:uiPriority w:val="34"/>
    <w:pPr>
      <w:ind w:firstLine="420" w:firstLineChars="200"/>
    </w:pPr>
  </w:style>
  <w:style w:type="paragraph" w:customStyle="1" w:styleId="95">
    <w:name w:val="Normal_0_1"/>
    <w:qFormat/>
    <w:uiPriority w:val="0"/>
    <w:rPr>
      <w:rFonts w:ascii="Times New Roman" w:hAnsi="Times New Roman" w:eastAsia="Times New Roman" w:cs="Times New Roman"/>
      <w:sz w:val="24"/>
      <w:szCs w:val="24"/>
      <w:lang w:val="en-US" w:eastAsia="zh-CN" w:bidi="ar-SA"/>
    </w:rPr>
  </w:style>
  <w:style w:type="character" w:customStyle="1" w:styleId="96">
    <w:name w:val="l-btn-icon-right"/>
    <w:basedOn w:val="33"/>
    <w:qFormat/>
    <w:uiPriority w:val="0"/>
  </w:style>
  <w:style w:type="character" w:customStyle="1" w:styleId="97">
    <w:name w:val="l-btn-text"/>
    <w:basedOn w:val="33"/>
    <w:qFormat/>
    <w:uiPriority w:val="0"/>
    <w:rPr>
      <w:sz w:val="18"/>
      <w:szCs w:val="18"/>
      <w:vertAlign w:val="baseline"/>
    </w:rPr>
  </w:style>
  <w:style w:type="character" w:customStyle="1" w:styleId="98">
    <w:name w:val="l-btn-left2"/>
    <w:basedOn w:val="33"/>
    <w:qFormat/>
    <w:uiPriority w:val="0"/>
  </w:style>
  <w:style w:type="character" w:customStyle="1" w:styleId="99">
    <w:name w:val="l-btn-left3"/>
    <w:basedOn w:val="33"/>
    <w:qFormat/>
    <w:uiPriority w:val="0"/>
  </w:style>
  <w:style w:type="character" w:customStyle="1" w:styleId="100">
    <w:name w:val="l-btn-left4"/>
    <w:basedOn w:val="33"/>
    <w:qFormat/>
    <w:uiPriority w:val="0"/>
  </w:style>
  <w:style w:type="character" w:customStyle="1" w:styleId="101">
    <w:name w:val="l-btn-left5"/>
    <w:basedOn w:val="33"/>
    <w:qFormat/>
    <w:uiPriority w:val="0"/>
  </w:style>
  <w:style w:type="character" w:customStyle="1" w:styleId="102">
    <w:name w:val="l-btn-icon-left"/>
    <w:basedOn w:val="33"/>
    <w:qFormat/>
    <w:uiPriority w:val="0"/>
  </w:style>
  <w:style w:type="character" w:customStyle="1" w:styleId="103">
    <w:name w:val="l-btn-empty"/>
    <w:basedOn w:val="33"/>
    <w:qFormat/>
    <w:uiPriority w:val="0"/>
  </w:style>
  <w:style w:type="character" w:customStyle="1" w:styleId="104">
    <w:name w:val="l-btn-left"/>
    <w:basedOn w:val="33"/>
    <w:qFormat/>
    <w:uiPriority w:val="0"/>
  </w:style>
  <w:style w:type="character" w:customStyle="1" w:styleId="105">
    <w:name w:val="l-btn-left1"/>
    <w:basedOn w:val="33"/>
    <w:qFormat/>
    <w:uiPriority w:val="0"/>
  </w:style>
  <w:style w:type="paragraph" w:customStyle="1" w:styleId="106">
    <w:name w:val="Normal_1"/>
    <w:qFormat/>
    <w:uiPriority w:val="0"/>
    <w:rPr>
      <w:rFonts w:ascii="Calibri" w:hAnsi="Calibri" w:eastAsia="宋体" w:cs="Times New Roman"/>
      <w:sz w:val="24"/>
      <w:szCs w:val="24"/>
      <w:lang w:val="en-US" w:eastAsia="zh-CN" w:bidi="ar-SA"/>
    </w:rPr>
  </w:style>
  <w:style w:type="paragraph" w:customStyle="1" w:styleId="107">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108">
    <w:name w:val="Normal_7"/>
    <w:qFormat/>
    <w:uiPriority w:val="0"/>
    <w:rPr>
      <w:rFonts w:ascii="Calibri" w:hAnsi="Calibri" w:eastAsia="宋体" w:cs="Times New Roman"/>
      <w:sz w:val="24"/>
      <w:szCs w:val="24"/>
      <w:lang w:val="en-US" w:eastAsia="zh-CN" w:bidi="ar-SA"/>
    </w:rPr>
  </w:style>
  <w:style w:type="paragraph" w:customStyle="1" w:styleId="109">
    <w:name w:val="Normal_5"/>
    <w:qFormat/>
    <w:uiPriority w:val="0"/>
    <w:rPr>
      <w:rFonts w:ascii="Calibri" w:hAnsi="Calibri" w:eastAsia="宋体" w:cs="Times New Roman"/>
      <w:sz w:val="24"/>
      <w:szCs w:val="24"/>
      <w:lang w:val="en-US" w:eastAsia="zh-CN" w:bidi="ar-SA"/>
    </w:rPr>
  </w:style>
  <w:style w:type="table" w:customStyle="1" w:styleId="110">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11">
    <w:name w:val="Normal_12"/>
    <w:qFormat/>
    <w:uiPriority w:val="0"/>
    <w:rPr>
      <w:rFonts w:ascii="Times New Roman" w:hAnsi="Times New Roman" w:eastAsia="Times New Roman" w:cs="Times New Roman"/>
      <w:sz w:val="24"/>
      <w:szCs w:val="24"/>
      <w:lang w:val="en-US" w:eastAsia="zh-CN" w:bidi="ar-SA"/>
    </w:rPr>
  </w:style>
  <w:style w:type="paragraph" w:customStyle="1" w:styleId="112">
    <w:name w:val="正文_8"/>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24589</Words>
  <Characters>25842</Characters>
  <Lines>227</Lines>
  <Paragraphs>63</Paragraphs>
  <TotalTime>5</TotalTime>
  <ScaleCrop>false</ScaleCrop>
  <LinksUpToDate>false</LinksUpToDate>
  <CharactersWithSpaces>27700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2021-05-31T23:59:00Z</dcterms:created>
  <dc:creator>X</dc:creator>
  <cp:lastModifiedBy>greatwall</cp:lastModifiedBy>
  <cp:lastPrinted>2023-06-21T17:01:00Z</cp:lastPrinted>
  <dcterms:modified xsi:type="dcterms:W3CDTF">2024-01-29T15:12:54Z</dcterms:modified>
  <dc:title>政府采购</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11C3759E5B6949CE87EE8E873AB81FAA_13</vt:lpwstr>
  </property>
</Properties>
</file>