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</w:p>
    <w:p>
      <w:pPr>
        <w:pStyle w:val="6"/>
        <w:spacing w:beforeLines="0" w:after="0" w:afterLines="0" w:line="40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</w:p>
    <w:p>
      <w:pPr>
        <w:pStyle w:val="3"/>
        <w:spacing w:beforeAutospacing="0" w:afterAutospacing="0" w:line="600" w:lineRule="exact"/>
        <w:jc w:val="center"/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  <w:u w:val="none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0"/>
          <w:szCs w:val="40"/>
          <w:u w:val="none"/>
          <w:lang w:eastAsia="zh-CN"/>
        </w:rPr>
        <w:t>我省科技领军企业“荷尖”人才直接遴选配</w:t>
      </w:r>
      <w:r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  <w:u w:val="none"/>
        </w:rPr>
        <w:t>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/>
          <w:color w:val="auto"/>
          <w:u w:val="none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21"/>
          <w:szCs w:val="21"/>
          <w:u w:val="none"/>
          <w:lang w:val="en-US" w:eastAsia="zh-CN"/>
        </w:rPr>
        <w:t xml:space="preserve">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4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市州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eastAsia="zh-CN"/>
              </w:rPr>
              <w:t>配额数量（个）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eastAsia="zh-CN"/>
              </w:rPr>
              <w:t>长沙市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  <w:t>株洲市、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  <w:t>湘潭市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  <w:t>岳阳市、衡阳市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7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eastAsia="zh-CN"/>
              </w:rPr>
              <w:t>其余市州</w:t>
            </w:r>
          </w:p>
        </w:tc>
        <w:tc>
          <w:tcPr>
            <w:tcW w:w="45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市州推荐的科技领军企业须属于我省2022年度高新技术企业综合创新能力100强、工业新兴优势产业链重点企业、国家技术创新示范企业、国家制造业单项冠军企业、国家专精特新“小巨人”企业之一。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FF5A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2023-03-29T15:59:05Z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