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spacing w:line="580" w:lineRule="exact"/>
        <w:ind w:firstLine="800" w:firstLineChars="200"/>
        <w:jc w:val="both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"/>
        </w:rPr>
        <w:t>度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eastAsia="zh-CN"/>
        </w:rPr>
        <w:t>湖南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省科技企业孵化器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eastAsia="zh-CN"/>
        </w:rPr>
        <w:t>名单</w:t>
      </w:r>
    </w:p>
    <w:tbl>
      <w:tblPr>
        <w:tblStyle w:val="6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3337"/>
        <w:gridCol w:w="2955"/>
        <w:gridCol w:w="10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孵化器名称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运营主体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中国科技开发院（株洲）创新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孵化基地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株洲市中科智造孵化器管理有限公司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湖南工程机械配套产业园科技企业孵化器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汨罗市普盛实业有限公司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湘江科创园孵化器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长沙岳麓山国家大学科技城建设投资有限公司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娄底市旺达企业孵化基地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娄底市旺达中小企业创业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基地发展有限公司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邵阳县高新区科技企业孵化器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邵阳县工业园区开发建设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投资有限公司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嘉禾智能装备科技园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嘉禾华联中小企业服务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长沙云图孵化器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长沙云图孵化器有限公司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常德中开院孵化器管理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常德中开院孵化器管理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岳阳哈工智谷科技孵化器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岳阳哈工置业有限公司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花垣工业集中区科技企业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花垣县城乡农业综合开发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投资有限公司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衡南产业开发区新慧谷科技企业孵化器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衡南工业集中区客商投资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前行58小镇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湖南前行科创有限公司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湖南昭山“绿心文创谷”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湘潭文伊云文化发展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湖南凤凰云科技企业孵化器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湖南金凤凰建材家居集成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宁远高新区科技企业孵化器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宁远县民营中小企业公共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服务平台有限公司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BD8F9"/>
    <w:rsid w:val="1FEC1D2D"/>
    <w:rsid w:val="27FF38DE"/>
    <w:rsid w:val="31F9A850"/>
    <w:rsid w:val="3BDDA14C"/>
    <w:rsid w:val="3EAB0813"/>
    <w:rsid w:val="4FD3C80C"/>
    <w:rsid w:val="54E7AFF8"/>
    <w:rsid w:val="5BDB4583"/>
    <w:rsid w:val="605E202F"/>
    <w:rsid w:val="67ECDD29"/>
    <w:rsid w:val="6BAF9C1D"/>
    <w:rsid w:val="6FFDBE32"/>
    <w:rsid w:val="75F787F4"/>
    <w:rsid w:val="773F71F5"/>
    <w:rsid w:val="77DF97E5"/>
    <w:rsid w:val="77EE1000"/>
    <w:rsid w:val="7DB97175"/>
    <w:rsid w:val="7FAF38F9"/>
    <w:rsid w:val="7FDD4037"/>
    <w:rsid w:val="99F478AD"/>
    <w:rsid w:val="ACFD6739"/>
    <w:rsid w:val="BBEB55F7"/>
    <w:rsid w:val="BEB77BE9"/>
    <w:rsid w:val="BF56B81A"/>
    <w:rsid w:val="BFF7CC7F"/>
    <w:rsid w:val="BFFF5FF6"/>
    <w:rsid w:val="CBEBB6E5"/>
    <w:rsid w:val="CC76CDE1"/>
    <w:rsid w:val="DBFBE0B4"/>
    <w:rsid w:val="DDBA082D"/>
    <w:rsid w:val="DFDD5C6C"/>
    <w:rsid w:val="EBFFDD3F"/>
    <w:rsid w:val="ED37EAC1"/>
    <w:rsid w:val="EEBFE99D"/>
    <w:rsid w:val="F7D5000A"/>
    <w:rsid w:val="F9FEBD95"/>
    <w:rsid w:val="FD6CDE22"/>
    <w:rsid w:val="FEBBCA2C"/>
    <w:rsid w:val="FFFB0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customStyle="1" w:styleId="8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刘泉江</cp:lastModifiedBy>
  <cp:lastPrinted>2021-12-15T08:20:00Z</cp:lastPrinted>
  <dcterms:modified xsi:type="dcterms:W3CDTF">2021-12-15T03:42:42Z</dcterms:modified>
  <dc:title>办文说明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