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年湖南省院士专家工作站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认定名单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151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依托单位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进站院士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三一汽车制造有限公司（联合单位：三一集团有限公司、湖南三一工业职业技术学院）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王耀南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湖南天剑海洋工程设备有限公司（联合单位：湖南国科海防信息技术有限公司）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张仁和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湖南长城海盾光纤科技有限公司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张仁和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湖南鲲鹏智汇无人机技术有限公司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周建平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长沙微纳坤宸新材料有限公司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黄瑞松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澳优乳业（中国）有限公司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6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湖南西交智造科技有限公司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卢秉恒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160" w:firstLineChars="13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E4C64"/>
    <w:rsid w:val="264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2021-09-26T02:35:00Z</dcterms:created>
  <dc:creator>喋喋不休的鱼</dc:creator>
  <cp:lastModifiedBy>喋喋不休的鱼</cp:lastModifiedBy>
  <dcterms:modified xsi:type="dcterms:W3CDTF">2021-09-26T02:35:56Z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396D50B6890C48F6B4429E69726C82FD</vt:lpwstr>
  </property>
</Properties>
</file>