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0"/>
          <w:szCs w:val="40"/>
        </w:rPr>
        <w:t>重大事项调整表</w:t>
      </w:r>
    </w:p>
    <w:tbl>
      <w:tblPr>
        <w:tblStyle w:val="5"/>
        <w:tblW w:w="8501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226"/>
        <w:gridCol w:w="3315"/>
        <w:gridCol w:w="1410"/>
        <w:gridCol w:w="1140"/>
        <w:gridCol w:w="89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3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依托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调整事项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18TP2036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湖南省药物微纳化制造工程技术研究中心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湖南湘源美东医药科技有限公司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刘晓忠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延迟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一年验收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57E5"/>
    <w:rsid w:val="0C64006C"/>
    <w:rsid w:val="1E167127"/>
    <w:rsid w:val="2C9A57E5"/>
    <w:rsid w:val="31D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300"/>
      <w:outlineLvl w:val="1"/>
    </w:pPr>
    <w:rPr>
      <w:rFonts w:ascii="Arial" w:hAnsi="Arial" w:eastAsia="仿宋_GB2312" w:cs="Times New Roman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罗申</dc:creator>
  <cp:lastModifiedBy>刘泉江</cp:lastModifiedBy>
  <dcterms:modified xsi:type="dcterms:W3CDTF">2021-05-06T07:22:27Z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