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2018-2019年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××单位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研发项目经费中非财政性资金财务支出明细报表</w:t>
      </w:r>
    </w:p>
    <w:p>
      <w:pPr>
        <w:spacing w:line="6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申报单位：                                                                               填报日期：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809"/>
        <w:gridCol w:w="1233"/>
        <w:gridCol w:w="1317"/>
        <w:gridCol w:w="1684"/>
        <w:gridCol w:w="1139"/>
        <w:gridCol w:w="1208"/>
        <w:gridCol w:w="14"/>
        <w:gridCol w:w="1222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课题名称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课题经费来源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课题技术领域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课题负责人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课题活动类型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课题周期</w:t>
            </w:r>
          </w:p>
        </w:tc>
        <w:tc>
          <w:tcPr>
            <w:tcW w:w="352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课题当年内部支出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开题年份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结题年份</w:t>
            </w:r>
          </w:p>
        </w:tc>
        <w:tc>
          <w:tcPr>
            <w:tcW w:w="352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174" w:type="dxa"/>
            <w:gridSpan w:val="10"/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8年度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</w:t>
            </w:r>
          </w:p>
        </w:tc>
        <w:tc>
          <w:tcPr>
            <w:tcW w:w="180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48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352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174" w:type="dxa"/>
            <w:gridSpan w:val="10"/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64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35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64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9年比</w:t>
            </w:r>
            <w:r>
              <w:rPr>
                <w:rFonts w:ascii="Times New Roman" w:hAnsi="Times New Roman" w:eastAsia="仿宋_GB2312" w:cs="Times New Roman"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8年新增额（万元）</w:t>
            </w:r>
          </w:p>
        </w:tc>
        <w:tc>
          <w:tcPr>
            <w:tcW w:w="35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C00000"/>
                <w:sz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default" w:ascii="Times New Roman" w:hAnsi="Times New Roman" w:cs="Times New Roman"/>
          <w:sz w:val="24"/>
        </w:rPr>
        <w:t>备注：各申报单位对申报数据和材料真实性负责，每一个课题的合同书、财务支出明细留存备查。</w:t>
      </w:r>
    </w:p>
    <w:sectPr>
      <w:footerReference r:id="rId3" w:type="default"/>
      <w:pgSz w:w="16838" w:h="11906" w:orient="landscape"/>
      <w:pgMar w:top="1587" w:right="1440" w:bottom="1474" w:left="1440" w:header="992" w:footer="1276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2&#10;u99u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121B"/>
    <w:rsid w:val="1297438E"/>
    <w:rsid w:val="16BE24D4"/>
    <w:rsid w:val="171A121B"/>
    <w:rsid w:val="27BF0FC4"/>
    <w:rsid w:val="2A2F0AA7"/>
    <w:rsid w:val="2D3F27CB"/>
    <w:rsid w:val="2E4C5639"/>
    <w:rsid w:val="3D6E098B"/>
    <w:rsid w:val="48BD1CDD"/>
    <w:rsid w:val="4E2A25A5"/>
    <w:rsid w:val="56EB45F1"/>
    <w:rsid w:val="5CF5665F"/>
    <w:rsid w:val="799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</w:style>
  <w:style w:type="character" w:customStyle="1" w:styleId="10">
    <w:name w:val="font5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41"/>
    <w:qFormat/>
    <w:uiPriority w:val="99"/>
    <w:rPr>
      <w:rFonts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2020-11-30T02:03:00Z</dcterms:created>
  <dc:creator>喻智慧</dc:creator>
  <cp:lastModifiedBy>刘泉江</cp:lastModifiedBy>
  <cp:lastPrinted>2020-11-30T09:30:00Z</cp:lastPrinted>
  <dcterms:modified xsi:type="dcterms:W3CDTF">2020-12-09T03:20:45Z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