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湖南省科普（含青少年科技教育）基地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市州</w:t>
      </w:r>
      <w:r>
        <w:rPr>
          <w:rFonts w:ascii="Times New Roman" w:hAnsi="Times New Roman" w:eastAsia="方正小标宋简体" w:cs="Times New Roman"/>
          <w:sz w:val="44"/>
          <w:szCs w:val="44"/>
        </w:rPr>
        <w:t>评价表</w:t>
      </w:r>
      <w:bookmarkEnd w:id="0"/>
    </w:p>
    <w:tbl>
      <w:tblPr>
        <w:tblStyle w:val="6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559"/>
        <w:gridCol w:w="850"/>
        <w:gridCol w:w="567"/>
        <w:gridCol w:w="1134"/>
        <w:gridCol w:w="2835"/>
        <w:gridCol w:w="851"/>
        <w:gridCol w:w="368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  <w:t>基地名称</w:t>
            </w:r>
          </w:p>
        </w:tc>
        <w:tc>
          <w:tcPr>
            <w:tcW w:w="4961" w:type="dxa"/>
            <w:gridSpan w:val="5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  <w:t>依托单位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84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一级指标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分值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二级指标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分值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指标说明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评分标准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组织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管理情况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工作规划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和工作计划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依托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单位是否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重视科普工作，有长远的科普工作规划和年度工作计划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1.有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工作规划和年度工作计划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（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5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分）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2.有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工作规划和年度工作计划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之一（2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.5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分）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3.无（0分）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工作制度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是否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有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完善的基地管理制度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1.制定了的基地管理制度，3分；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2. 制度合法、合规、完整，2分；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工作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报告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科普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基地是否按时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向省科技行政管理部门提交年度工作报告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1.每年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按时提交了年度工作报告，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5分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2.未每年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按时提交年度工作报告，0-4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分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场地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设施与科普活动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开展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场地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设施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15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是否具有固定的科普展览场地，并定期更新、补充科普宣传展示内容。配备了满足科普活动需要的音像、演示、实践设备和器材、模型等。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1.好（11-15分）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2.较好（6-10分）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3.一般（0-5分）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科普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活动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15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面向公众从事《科普法》所规定的科普活动，所从事的业务主题鲜明、内容丰富，具有科普教育、宣传和示范作用。其科普工作应具有示范功能，并在省内外有一定影响。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1.好（11-15分）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2.较好（6-10分）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3.一般（0-5分）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社会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公众开放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15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是否向社会公众开放，开放天数是否满足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《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湖南省科学技术普及基地认定实施细则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》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要求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1.好（11-15分）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2.较好（6-10分）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3.一般（0-5分）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一级指标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分值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二级指标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分值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指标说明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评分标准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opLinePunct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工作队伍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管理人员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10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配备有稳定的专（兼）职科普工作管理人员。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1.有稳定的专（兼）职科普工作管理人员，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7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-10分；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2.有专（兼）职科普工作管理人员但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不稳定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，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1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-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6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分；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3.没有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，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0分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科普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讲解员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10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配备有稳定的专（兼）职科普讲解员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1.有稳定的专（兼）职科普讲解员，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7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-10分；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2.有专（兼）职科普科普讲解员但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不稳定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，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1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-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6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分；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3.没有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，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0分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经费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保障及使用情况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经费保障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10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有稳定的科普活动投入，科普经费列入单位年度预算，保证科普活动正常开展。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1.好（8-10分）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2.较好（4-7分）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3.一般（0-3分）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经费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使用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10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科普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经费含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专项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经费使用是否合规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1.资金使用符合规定，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5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分；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2.资金的拨付有完整的审批程序和手续，</w:t>
            </w:r>
            <w:r>
              <w:rPr>
                <w:rFonts w:ascii="仿宋_GB2312" w:eastAsia="仿宋_GB2312"/>
                <w:bCs/>
                <w:kern w:val="0"/>
                <w:sz w:val="24"/>
                <w:szCs w:val="20"/>
              </w:rPr>
              <w:t>5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0"/>
              </w:rPr>
              <w:t>分。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0"/>
              </w:rPr>
              <w:t>总分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定性评价</w:t>
            </w:r>
          </w:p>
        </w:tc>
        <w:tc>
          <w:tcPr>
            <w:tcW w:w="8505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优秀  □              合格  □               不合格  □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7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评价意见建议：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ind w:firstLine="10800" w:firstLineChars="45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市州科技局（盖章）</w:t>
            </w:r>
          </w:p>
          <w:p>
            <w:pPr>
              <w:ind w:firstLine="10680" w:firstLineChars="44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时间：2020年7月   日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32"/>
        </w:rPr>
      </w:pPr>
    </w:p>
    <w:sectPr>
      <w:footerReference r:id="rId3" w:type="default"/>
      <w:pgSz w:w="16838" w:h="11906" w:orient="landscape"/>
      <w:pgMar w:top="1418" w:right="1440" w:bottom="1418" w:left="1440" w:header="851" w:footer="68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Times New Roman" w:hAnsi="Times New Roman" w:eastAsia="仿宋_GB2312" w:cs="Times New Roman"/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E82E68"/>
    <w:rsid w:val="00020EAD"/>
    <w:rsid w:val="00024CDB"/>
    <w:rsid w:val="00025488"/>
    <w:rsid w:val="00030F94"/>
    <w:rsid w:val="0005607F"/>
    <w:rsid w:val="00060DE2"/>
    <w:rsid w:val="00067BB7"/>
    <w:rsid w:val="00073209"/>
    <w:rsid w:val="00075F68"/>
    <w:rsid w:val="000A2F55"/>
    <w:rsid w:val="000A73A1"/>
    <w:rsid w:val="000B63B4"/>
    <w:rsid w:val="000C4AA9"/>
    <w:rsid w:val="00104501"/>
    <w:rsid w:val="001613E1"/>
    <w:rsid w:val="00186949"/>
    <w:rsid w:val="001D24BA"/>
    <w:rsid w:val="00200058"/>
    <w:rsid w:val="00217144"/>
    <w:rsid w:val="0025128D"/>
    <w:rsid w:val="00273464"/>
    <w:rsid w:val="00277DA0"/>
    <w:rsid w:val="00280FE0"/>
    <w:rsid w:val="00284CC0"/>
    <w:rsid w:val="00296048"/>
    <w:rsid w:val="002C39A6"/>
    <w:rsid w:val="002D3BEB"/>
    <w:rsid w:val="00313B0E"/>
    <w:rsid w:val="00313B92"/>
    <w:rsid w:val="00326DAD"/>
    <w:rsid w:val="003714BD"/>
    <w:rsid w:val="00394825"/>
    <w:rsid w:val="003C6C3E"/>
    <w:rsid w:val="003D2696"/>
    <w:rsid w:val="003F6379"/>
    <w:rsid w:val="00402996"/>
    <w:rsid w:val="004160B6"/>
    <w:rsid w:val="004261E7"/>
    <w:rsid w:val="00451258"/>
    <w:rsid w:val="00465273"/>
    <w:rsid w:val="00471A32"/>
    <w:rsid w:val="0047233A"/>
    <w:rsid w:val="004755DC"/>
    <w:rsid w:val="0049004E"/>
    <w:rsid w:val="004C0A0B"/>
    <w:rsid w:val="004D657C"/>
    <w:rsid w:val="004E3CE0"/>
    <w:rsid w:val="004F38DD"/>
    <w:rsid w:val="00527585"/>
    <w:rsid w:val="00533AFA"/>
    <w:rsid w:val="005340B7"/>
    <w:rsid w:val="00546C88"/>
    <w:rsid w:val="00591E90"/>
    <w:rsid w:val="00622BC0"/>
    <w:rsid w:val="006235B6"/>
    <w:rsid w:val="00644C51"/>
    <w:rsid w:val="00645F0D"/>
    <w:rsid w:val="0065141F"/>
    <w:rsid w:val="006A315F"/>
    <w:rsid w:val="006B5CEF"/>
    <w:rsid w:val="00720C74"/>
    <w:rsid w:val="0072503C"/>
    <w:rsid w:val="0074790A"/>
    <w:rsid w:val="0075631E"/>
    <w:rsid w:val="0076533E"/>
    <w:rsid w:val="007703BB"/>
    <w:rsid w:val="007A41E7"/>
    <w:rsid w:val="007B4B11"/>
    <w:rsid w:val="007D4B2D"/>
    <w:rsid w:val="007E5DEE"/>
    <w:rsid w:val="007F775E"/>
    <w:rsid w:val="00803A94"/>
    <w:rsid w:val="00813DC1"/>
    <w:rsid w:val="00822448"/>
    <w:rsid w:val="00823ABC"/>
    <w:rsid w:val="00824AAA"/>
    <w:rsid w:val="00840790"/>
    <w:rsid w:val="00866A0B"/>
    <w:rsid w:val="00877E49"/>
    <w:rsid w:val="008906B7"/>
    <w:rsid w:val="008D58CF"/>
    <w:rsid w:val="00905C7F"/>
    <w:rsid w:val="00951330"/>
    <w:rsid w:val="009530DE"/>
    <w:rsid w:val="00966A85"/>
    <w:rsid w:val="00980B94"/>
    <w:rsid w:val="009817D0"/>
    <w:rsid w:val="009A6C3B"/>
    <w:rsid w:val="009A702E"/>
    <w:rsid w:val="009B512D"/>
    <w:rsid w:val="009D14B7"/>
    <w:rsid w:val="009D3948"/>
    <w:rsid w:val="009D3AF4"/>
    <w:rsid w:val="009D4ADD"/>
    <w:rsid w:val="009F6664"/>
    <w:rsid w:val="009F6E1C"/>
    <w:rsid w:val="00A264CD"/>
    <w:rsid w:val="00A33B0B"/>
    <w:rsid w:val="00A3774A"/>
    <w:rsid w:val="00A528D1"/>
    <w:rsid w:val="00A603A9"/>
    <w:rsid w:val="00AF1032"/>
    <w:rsid w:val="00AF1F83"/>
    <w:rsid w:val="00AF4150"/>
    <w:rsid w:val="00B07D8A"/>
    <w:rsid w:val="00B35C03"/>
    <w:rsid w:val="00B36E80"/>
    <w:rsid w:val="00B40CFE"/>
    <w:rsid w:val="00B40FAE"/>
    <w:rsid w:val="00B540BC"/>
    <w:rsid w:val="00B960CD"/>
    <w:rsid w:val="00BB6AAB"/>
    <w:rsid w:val="00BF76F3"/>
    <w:rsid w:val="00C26A53"/>
    <w:rsid w:val="00C334DF"/>
    <w:rsid w:val="00C76035"/>
    <w:rsid w:val="00C810C5"/>
    <w:rsid w:val="00CA3269"/>
    <w:rsid w:val="00CB074E"/>
    <w:rsid w:val="00CC5640"/>
    <w:rsid w:val="00D00AD2"/>
    <w:rsid w:val="00D21F4D"/>
    <w:rsid w:val="00D234BE"/>
    <w:rsid w:val="00D238A7"/>
    <w:rsid w:val="00D42733"/>
    <w:rsid w:val="00D56407"/>
    <w:rsid w:val="00D640BA"/>
    <w:rsid w:val="00DC59EB"/>
    <w:rsid w:val="00DE103E"/>
    <w:rsid w:val="00E11AC5"/>
    <w:rsid w:val="00E25907"/>
    <w:rsid w:val="00E25AE6"/>
    <w:rsid w:val="00E36404"/>
    <w:rsid w:val="00E621F5"/>
    <w:rsid w:val="00E83BA9"/>
    <w:rsid w:val="00E87992"/>
    <w:rsid w:val="00EA74AC"/>
    <w:rsid w:val="00EC1576"/>
    <w:rsid w:val="00ED0035"/>
    <w:rsid w:val="00ED697E"/>
    <w:rsid w:val="00F1703D"/>
    <w:rsid w:val="00F37753"/>
    <w:rsid w:val="00F53C7D"/>
    <w:rsid w:val="00F62373"/>
    <w:rsid w:val="00F65D0A"/>
    <w:rsid w:val="00F9667D"/>
    <w:rsid w:val="00FE4DA6"/>
    <w:rsid w:val="03565DEB"/>
    <w:rsid w:val="038C200A"/>
    <w:rsid w:val="066827FA"/>
    <w:rsid w:val="145B0CF6"/>
    <w:rsid w:val="14C5486A"/>
    <w:rsid w:val="1AD25B1E"/>
    <w:rsid w:val="1BCD37BF"/>
    <w:rsid w:val="1DDC3C04"/>
    <w:rsid w:val="232B05DE"/>
    <w:rsid w:val="23586F44"/>
    <w:rsid w:val="25C66FD9"/>
    <w:rsid w:val="269A60A2"/>
    <w:rsid w:val="27E2654F"/>
    <w:rsid w:val="2C203827"/>
    <w:rsid w:val="2D3460B5"/>
    <w:rsid w:val="2DB55D40"/>
    <w:rsid w:val="31281A58"/>
    <w:rsid w:val="35945888"/>
    <w:rsid w:val="35CC5DD1"/>
    <w:rsid w:val="3E5D1A44"/>
    <w:rsid w:val="407C51D2"/>
    <w:rsid w:val="44CA6605"/>
    <w:rsid w:val="44F71C68"/>
    <w:rsid w:val="45270D10"/>
    <w:rsid w:val="470F7BB2"/>
    <w:rsid w:val="47E82E68"/>
    <w:rsid w:val="48BD500D"/>
    <w:rsid w:val="4A1146EA"/>
    <w:rsid w:val="4B4007BD"/>
    <w:rsid w:val="4CE43DF9"/>
    <w:rsid w:val="53E701EB"/>
    <w:rsid w:val="5419252F"/>
    <w:rsid w:val="57252755"/>
    <w:rsid w:val="57BF70D9"/>
    <w:rsid w:val="5F1C3E21"/>
    <w:rsid w:val="683C471D"/>
    <w:rsid w:val="68D810D1"/>
    <w:rsid w:val="69F4047F"/>
    <w:rsid w:val="6B807C0D"/>
    <w:rsid w:val="6EC03B9B"/>
    <w:rsid w:val="6F607839"/>
    <w:rsid w:val="70E439AD"/>
    <w:rsid w:val="72FA78E5"/>
    <w:rsid w:val="730B75E7"/>
    <w:rsid w:val="788000B0"/>
    <w:rsid w:val="7BF001A8"/>
    <w:rsid w:val="7D255FD5"/>
    <w:rsid w:val="7D517621"/>
    <w:rsid w:val="7DB16553"/>
    <w:rsid w:val="7F504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0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1">
    <w:name w:val="xl6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3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列出段落2"/>
    <w:basedOn w:val="1"/>
    <w:qFormat/>
    <w:uiPriority w:val="99"/>
    <w:pPr>
      <w:ind w:firstLine="420" w:firstLineChars="200"/>
    </w:pPr>
  </w:style>
  <w:style w:type="character" w:customStyle="1" w:styleId="21">
    <w:name w:val="批注框文本 字符"/>
    <w:basedOn w:val="7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2002</Words>
  <Characters>11415</Characters>
  <Lines>95</Lines>
  <Paragraphs>26</Paragraphs>
  <TotalTime>398</TotalTime>
  <ScaleCrop>false</ScaleCrop>
  <LinksUpToDate>false</LinksUpToDate>
  <CharactersWithSpaces>13391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2020-03-24T07:56:00Z</dcterms:created>
  <dc:creator>刘恋</dc:creator>
  <cp:lastModifiedBy>刘泉江</cp:lastModifiedBy>
  <cp:lastPrinted>2020-08-10T10:32:00Z</cp:lastPrinted>
  <dcterms:modified xsi:type="dcterms:W3CDTF">2020-08-11T09:35:16Z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