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jc w:val="center"/>
        <w:rPr>
          <w:rFonts w:ascii="Times New Roman" w:hAnsi="Times New Roman"/>
          <w:szCs w:val="22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</w:rPr>
        <w:t>资源综合利用产品目录</w:t>
      </w:r>
      <w:bookmarkStart w:id="0" w:name="_GoBack"/>
      <w:bookmarkEnd w:id="0"/>
    </w:p>
    <w:tbl>
      <w:tblPr>
        <w:tblStyle w:val="3"/>
        <w:tblW w:w="9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241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综合利用的资源名称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综合利用产品名称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</w:rPr>
              <w:t>技术标准和相关条件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废旧电池及其拆解物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金属及镍钴锰氢氧化物、镍钴锰酸锂、氯化钴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1.产品原料中95%以上利用上述资源；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2.镍钴锰氢氧化物符合《镍、钴、锰三元素复合氢氧化物》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（GB/T26300-2010）</w:t>
            </w:r>
            <w:r>
              <w:rPr>
                <w:rFonts w:ascii="Times New Roman" w:hAnsi="Times New Roman"/>
                <w:sz w:val="18"/>
                <w:szCs w:val="18"/>
              </w:rPr>
              <w:t>规定的技术要求。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废显（定）影液、废胶片、废像纸、废感光剂等废感光材料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银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1.产品原料95%以上来自所列资源；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纳税人必须通过ISO9000、ISO14000认证。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废旧电机、废旧电线电缆、废铝制易拉罐、报废汽车、报废摩托车、报废船舶、废旧电器电子产品、废旧太阳能光伏器件、废旧灯泡（管），及其拆解物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经冶炼、提纯生产的金属及合金（不包括铁及铁合金）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1.产品原料70%来自所列资源；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2.法律、法规或规章对相关废旧产品拆解规定了资质条件的，纳税人应当取得相应的资质。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废催化剂、电解废弃物、电镀废弃物、废旧线路板、烟尘灰、湿法泥、熔炼渣、线路板蚀刻废液、锡箔纸灰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经冶炼、提纯或化合生产的金属、合金及金属化合物（不包括铁及铁合金），冰晶石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1.产品原料70%来自所列资源；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纳税人必须通过ISO9000、ISO14000认证。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报废汽车、报废摩托车、报废船舶、废旧电器电子产品、废旧农机具、报废机器设备、废旧生活用品、工业边角余料、建筑拆解物等产生或拆解出来的废钢铁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炼钢炉料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1.产品原料95%以上来自所列资源；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2.炼钢炉料符合《废钢铁》（GB4223-2004）规定的技术要求；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3.法律、法规或规章对相关废旧产品拆解规定了资质条件的，纳税人应当取得相应的资质；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4.纳税人符合工业和信息化部《废钢铁加工行业准入条件》的相关规定；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5.炼钢炉料的销售对象应为符合工业和信息化部《钢铁行业规范条件》或《铸造行业准入条件》并公告的钢铁企业或铸造企业。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稀土产品加工废料，废弃稀土产品及拆解物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稀土金属及稀土氧化物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1.产品原料95%以上来自所列资源；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2.纳税人符合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国家发展改革委、环境保护部、工业和信息化部</w:t>
            </w:r>
            <w:r>
              <w:rPr>
                <w:rFonts w:ascii="Times New Roman" w:hAnsi="Times New Roman"/>
                <w:sz w:val="18"/>
                <w:szCs w:val="18"/>
              </w:rPr>
              <w:t>《稀土冶炼行业清洁生产评价指标体系》规定的技术要求。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废塑料、废旧聚氯乙烯（PVC）制品、废铝塑（纸铝、纸塑）复合纸包装材料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汽油、柴油、石油焦、碳黑、再生纸浆、铝粉、塑木（木塑）制品、（汽车、摩托车、家电、管材用）改性再生专用料、化纤用再生聚酯专用料、瓶用再生聚对苯二甲酸乙二醇酯（PET）树脂及再生塑料制品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1.产品原料70%以上来自所列资源；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>2.化纤用再生聚酯专用料杂质含量低于0.5㎎/g、水分含量低于1%，瓶用再生聚对苯二甲酸乙二醇酯（PET）树脂乙醛质量分数小于等于1ug/g；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3.纳税人必须通过ISO9000、ISO14000认证。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废纸、农作物秸秆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纸浆、秸秆浆和纸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1.产品原料70%以上来自所列资源；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2.废水排放符合《制浆造纸工业水污染物排放标准》（GB3544-2008）规定的技术要求；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3.纳税人符合《制浆造纸行业清洁生产评价指标体系》规定的技术要求；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4.纳税人必须通过ISO9000、ISO14000认证。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废旧轮胎、废橡胶制品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胶粉、翻新轮胎、再生橡胶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1.产品原料</w:t>
            </w:r>
            <w:r>
              <w:rPr>
                <w:rFonts w:ascii="Times New Roman" w:hAnsi="Times New Roman"/>
                <w:sz w:val="18"/>
                <w:szCs w:val="18"/>
              </w:rPr>
              <w:t>95%以上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来自所列资源；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2.胶粉符合（GB/T19208—2008）规定的技术要求；翻新轮胎符合（GB7037—2007）、（GB14646—2007）或（HG/T3979—2007）规定的技术要求；再生橡胶符合（GB/T13460—2008）规定的技术要求；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3.纳税人必须通过ISO9000、ISO14000认证。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废弃天然纤维、化学纤维及其制品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纤维纱及织布、无纺布、毡、粘合剂及再生聚酯产品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产品原料90%以上来自所列资源。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废玻璃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玻璃熟料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1.产品原料95%以上来自所列资源；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2.产品符合《废玻璃分类》（SB/T 10900-2012）的技术要求；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3.纳税人符合《废玻璃回收分拣技术规范》（SB/T11108-2014）规定的技术要求。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废渣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砖瓦（不含烧结普通砖）、砌块、陶粒、墙板、管材（管桩）、混凝土、砂浆、道路井盖、道路护栏、防火材料、耐火材料（镁铬砖除外）、保温材料、矿（岩）棉、微晶玻璃、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型玻璃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产品原料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70%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以上来自所列资源。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废渣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水泥、水泥熟料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1.42.5及以上等级水泥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原料20%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以上来自所列资源，其他水泥、水泥熟料的原料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40%以上来自所列资源；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2．纳税人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《水泥工业大气污染物排放标准》（GB4915—2013）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规定的技术要求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建（构）筑废物、煤矸石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建筑砂石骨料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1.产品原料90%以上来自所列资源；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2.产品以建（构）筑废物为原料的，符合《混凝土用再生粗骨料》（GB/T 25177-2010）或《混凝土和砂浆用再生细骨料》（GB/T 25176-2010）的技术要求；以煤矸石为原料的，符合《建设用砂》（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GB/T 14684-2011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）或《建设用卵石、碎石》（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GB/T 14685-2011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）规定的技术要求。</w:t>
            </w:r>
          </w:p>
        </w:tc>
      </w:tr>
    </w:tbl>
    <w:p>
      <w:pPr>
        <w:ind w:firstLine="420"/>
        <w:rPr>
          <w:rFonts w:hint="eastAsia" w:ascii="Times New Roman" w:hAnsi="Times New Roman"/>
          <w:color w:val="000000"/>
          <w:szCs w:val="22"/>
        </w:rPr>
      </w:pPr>
      <w:r>
        <w:rPr>
          <w:rFonts w:hint="eastAsia" w:ascii="Times New Roman" w:hAnsi="Times New Roman"/>
          <w:color w:val="000000"/>
          <w:szCs w:val="22"/>
        </w:rPr>
        <w:t xml:space="preserve"> 1、概念和定义。</w:t>
      </w:r>
    </w:p>
    <w:p>
      <w:pPr>
        <w:ind w:firstLine="42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“废渣”，是指采矿选矿废渣、冶炼废渣、化工废渣和其他废渣。其中，采矿选矿废渣，是指在矿产资源开采加工过程中产生的煤矸石、粉末、粉尘和污泥；冶炼废渣，是指转炉渣、电炉渣、铁合金炉渣、氧化铝赤泥和有色金属灰渣，但不包括高炉水渣；化工废渣，是指硫铁矿渣、硫铁矿煅烧渣、硫酸渣、硫石膏、磷石膏、磷矿煅烧渣、含氰废渣、电石渣、磷肥渣、硫磺渣、碱渣、含钡废渣、铬渣、盐泥、总溶剂渣、黄磷渣、柠檬酸渣、脱硫石膏、氟石膏、钛石膏和废石膏模；其他废渣，是指粉煤灰、燃煤炉渣、江河（湖、海、渠）道淤泥、淤沙、建筑垃圾、废玻璃、污水处理厂处理污水产生的污泥。 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“冶炼”，是指通过焙烧、熔炼、电解以及使用化学药剂等方法把原料中的金属提取出来，减少金属中所含的杂质或增加金属中某种成分，炼成所需要的金属。冶炼包括火法冶炼、湿法提取或电化学沉积。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“烟尘灰”，是指金属冶炼厂火法冶炼过程中，为保护环境经除尘器（塔）收集的粉灰状及泥状残料物。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“湿法泥”，是指湿法冶炼生产排出的污泥，经集中环保处置后产生的中和渣，且具有一定回收价值的污泥状废弃物。</w:t>
      </w:r>
    </w:p>
    <w:p>
      <w:pPr>
        <w:ind w:firstLine="420" w:firstLineChars="200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“熔炼渣”，是指有色金属火法冶炼过程中，由于比重的差异，金属成分因比重大沉底形成金属锭，而比重较小的硅、铁、钙等化合物浮在金属表层形成的废渣。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“农作物秸秆”，是指农业生产过程中，收获了粮食作物（指稻谷、小麦、玉米、薯类等）、油料作物（指油菜籽、花生、大豆、葵花籽、芝麻籽、胡麻籽等）、棉花、麻类、糖料、烟叶、药材、花卉、蔬菜和水果等以后残留的茎秆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2. 综合利用的资源比例计算方式。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（1）综合利用的资源占生产原料或者燃料的比重，以重量比例计算。其中，水泥、水泥熟料原料中掺兑废渣的比重，按以下方法计算：</w:t>
      </w:r>
    </w:p>
    <w:p>
      <w:pPr>
        <w:ind w:firstLine="525" w:firstLineChars="25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①对经生料烧制和熟料研磨阶段生产的水泥，其掺兑废渣比例计算公式为：掺兑废渣比例＝（生料烧制阶段掺兑废渣数量＋熟料研磨阶段掺兑废渣数量）÷（除废渣以外的生料数量＋生料烧制和熟料研磨阶段掺兑废渣数量＋其他材料数量）×100%；</w:t>
      </w:r>
    </w:p>
    <w:p>
      <w:pPr>
        <w:ind w:firstLine="525" w:firstLineChars="25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②对外购水泥熟料采用研磨工艺生产的水泥，其掺兑废渣比例计算公式为：掺兑废渣比例＝熟料研磨阶段掺兑废渣数量÷（熟料数量＋熟料研磨阶段掺兑废渣数量＋其他材料数量）×100%；</w:t>
      </w:r>
    </w:p>
    <w:p>
      <w:pPr>
        <w:ind w:firstLine="525" w:firstLineChars="25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③对生料烧制的水泥熟料，其掺兑废渣比例计算公式为：掺兑废渣比例＝生料烧制阶段掺兑废渣数量÷（除废渣以外的生料数量＋生料烧制阶段掺兑废渣数量＋其他材料数量）×100%。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（2）综合利用的资源为余热、余压的，按其占生产电力、热力消耗的能源比例计算。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3. 表中所列综合利用产品，应当符合相应的国家或行业标准。既有国家标准又有行业标准的，应当符合相对高的标准；没有国家标准或行业标准的，应当符合按规定向质量技术监督部门备案的企业标准。</w:t>
      </w:r>
    </w:p>
    <w:p>
      <w:pPr>
        <w:ind w:firstLine="420" w:firstLineChars="20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表中所列各类国家标准、行业标准，如在执行过程中有更新、替换，统一按最新的国家标准、行业标准执行。</w:t>
      </w:r>
    </w:p>
    <w:p>
      <w:pPr>
        <w:ind w:firstLine="420" w:firstLineChars="200"/>
      </w:pPr>
      <w:r>
        <w:rPr>
          <w:rFonts w:ascii="Times New Roman" w:hAnsi="Times New Roman"/>
          <w:color w:val="000000"/>
          <w:szCs w:val="22"/>
        </w:rPr>
        <w:t>4. 表中所称“以上”均含本数。</w:t>
      </w:r>
    </w:p>
    <w:sectPr>
      <w:pgSz w:w="11906" w:h="16838"/>
      <w:pgMar w:top="1531" w:right="1361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178A"/>
    <w:rsid w:val="27A645FC"/>
    <w:rsid w:val="4FB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2020-04-29T08:36:00Z</dcterms:created>
  <dc:creator>刘泉江</dc:creator>
  <cp:lastModifiedBy>刘泉江</cp:lastModifiedBy>
  <dcterms:modified xsi:type="dcterms:W3CDTF">2020-04-29T09:14:47Z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