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559"/>
        <w:gridCol w:w="2551"/>
        <w:gridCol w:w="1276"/>
        <w:gridCol w:w="1701"/>
        <w:gridCol w:w="65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74" w:type="dxa"/>
            <w:gridSpan w:val="6"/>
            <w:tcBorders>
              <w:tl2br w:val="nil"/>
              <w:tr2bl w:val="nil"/>
            </w:tcBorders>
          </w:tcPr>
          <w:p>
            <w:pPr>
              <w:spacing w:line="440" w:lineRule="exact"/>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2014年度东南大学科技成果项目汇编</w:t>
            </w:r>
          </w:p>
          <w:p>
            <w:pPr>
              <w:spacing w:line="440" w:lineRule="exact"/>
              <w:jc w:val="center"/>
              <w:rPr>
                <w:rFonts w:hint="eastAsia" w:ascii="黑体" w:hAnsi="黑体" w:eastAsia="黑体" w:cs="宋体"/>
                <w:color w:val="000000"/>
                <w:kern w:val="0"/>
                <w:sz w:val="36"/>
                <w:szCs w:val="36"/>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440" w:lineRule="exact"/>
              <w:rPr>
                <w:rFonts w:ascii="仿宋_GB2312" w:eastAsia="仿宋_GB2312"/>
                <w:b/>
                <w:sz w:val="24"/>
                <w:szCs w:val="24"/>
              </w:rPr>
            </w:pPr>
            <w:r>
              <w:rPr>
                <w:rFonts w:hint="eastAsia" w:ascii="仿宋_GB2312" w:eastAsia="仿宋_GB2312"/>
                <w:b/>
                <w:sz w:val="24"/>
                <w:szCs w:val="24"/>
              </w:rPr>
              <w:t>序 号</w:t>
            </w:r>
          </w:p>
        </w:tc>
        <w:tc>
          <w:tcPr>
            <w:tcW w:w="1559" w:type="dxa"/>
            <w:tcBorders>
              <w:tl2br w:val="nil"/>
              <w:tr2bl w:val="nil"/>
            </w:tcBorders>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所属领域</w:t>
            </w:r>
          </w:p>
        </w:tc>
        <w:tc>
          <w:tcPr>
            <w:tcW w:w="2551" w:type="dxa"/>
            <w:tcBorders>
              <w:tl2br w:val="nil"/>
              <w:tr2bl w:val="nil"/>
            </w:tcBorders>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成果名称</w:t>
            </w:r>
          </w:p>
        </w:tc>
        <w:tc>
          <w:tcPr>
            <w:tcW w:w="1276" w:type="dxa"/>
            <w:tcBorders>
              <w:tl2br w:val="nil"/>
              <w:tr2bl w:val="nil"/>
            </w:tcBorders>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意向</w:t>
            </w:r>
          </w:p>
          <w:p>
            <w:pPr>
              <w:spacing w:line="440" w:lineRule="exact"/>
              <w:jc w:val="center"/>
              <w:rPr>
                <w:rFonts w:ascii="仿宋_GB2312" w:eastAsia="仿宋_GB2312"/>
                <w:b/>
                <w:sz w:val="24"/>
                <w:szCs w:val="24"/>
              </w:rPr>
            </w:pPr>
            <w:r>
              <w:rPr>
                <w:rFonts w:hint="eastAsia" w:ascii="仿宋_GB2312" w:eastAsia="仿宋_GB2312"/>
                <w:b/>
                <w:sz w:val="24"/>
                <w:szCs w:val="24"/>
              </w:rPr>
              <w:t>合作方式</w:t>
            </w:r>
          </w:p>
        </w:tc>
        <w:tc>
          <w:tcPr>
            <w:tcW w:w="1701" w:type="dxa"/>
            <w:tcBorders>
              <w:tl2br w:val="nil"/>
              <w:tr2bl w:val="nil"/>
            </w:tcBorders>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技术成熟程度</w:t>
            </w:r>
          </w:p>
        </w:tc>
        <w:tc>
          <w:tcPr>
            <w:tcW w:w="6553" w:type="dxa"/>
            <w:tcBorders>
              <w:tl2br w:val="nil"/>
              <w:tr2bl w:val="nil"/>
            </w:tcBorders>
            <w:vAlign w:val="center"/>
          </w:tcPr>
          <w:p>
            <w:pPr>
              <w:spacing w:line="440" w:lineRule="exact"/>
              <w:jc w:val="center"/>
              <w:rPr>
                <w:rFonts w:ascii="仿宋_GB2312" w:eastAsia="仿宋_GB2312"/>
                <w:b/>
                <w:sz w:val="24"/>
                <w:szCs w:val="24"/>
              </w:rPr>
            </w:pPr>
            <w:r>
              <w:rPr>
                <w:rFonts w:hint="eastAsia" w:ascii="仿宋_GB2312" w:eastAsia="仿宋_GB2312"/>
                <w:b/>
                <w:sz w:val="24"/>
                <w:szCs w:val="24"/>
              </w:rPr>
              <w:t>成果介绍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restart"/>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1</w:t>
            </w:r>
          </w:p>
        </w:tc>
        <w:tc>
          <w:tcPr>
            <w:tcW w:w="1559" w:type="dxa"/>
            <w:vMerge w:val="restart"/>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能源环保</w:t>
            </w: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城市污水处理厂污泥化学调制深度脱水技术</w:t>
            </w:r>
          </w:p>
        </w:tc>
        <w:tc>
          <w:tcPr>
            <w:tcW w:w="1276" w:type="dxa"/>
            <w:tcBorders>
              <w:tl2br w:val="nil"/>
              <w:tr2bl w:val="nil"/>
            </w:tcBorders>
          </w:tcPr>
          <w:p>
            <w:pPr>
              <w:spacing w:line="360" w:lineRule="exact"/>
              <w:rPr>
                <w:rFonts w:asciiTheme="minorEastAsia" w:hAnsiTheme="minorEastAsia"/>
                <w:szCs w:val="21"/>
              </w:rPr>
            </w:pPr>
            <w:r>
              <w:rPr>
                <w:rFonts w:hint="eastAsia" w:cs="宋体" w:asciiTheme="minorEastAsia" w:hAnsiTheme="minorEastAsia"/>
                <w:color w:val="000000"/>
                <w:kern w:val="0"/>
                <w:szCs w:val="21"/>
              </w:rPr>
              <w:t>技术服务</w:t>
            </w:r>
          </w:p>
        </w:tc>
        <w:tc>
          <w:tcPr>
            <w:tcW w:w="1701" w:type="dxa"/>
            <w:tcBorders>
              <w:tl2br w:val="nil"/>
              <w:tr2bl w:val="nil"/>
            </w:tcBorders>
          </w:tcPr>
          <w:p>
            <w:pPr>
              <w:widowControl/>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小批量</w:t>
            </w:r>
          </w:p>
          <w:p>
            <w:pPr>
              <w:widowControl/>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生产阶段</w:t>
            </w:r>
          </w:p>
        </w:tc>
        <w:tc>
          <w:tcPr>
            <w:tcW w:w="6553" w:type="dxa"/>
            <w:tcBorders>
              <w:tl2br w:val="nil"/>
              <w:tr2bl w:val="nil"/>
            </w:tcBorders>
          </w:tcPr>
          <w:p>
            <w:pPr>
              <w:spacing w:line="360" w:lineRule="exact"/>
              <w:rPr>
                <w:rFonts w:asciiTheme="minorEastAsia" w:hAnsiTheme="minorEastAsia"/>
                <w:kern w:val="24"/>
                <w:szCs w:val="21"/>
              </w:rPr>
            </w:pPr>
            <w:r>
              <w:rPr>
                <w:rFonts w:hint="eastAsia" w:asciiTheme="minorEastAsia" w:hAnsiTheme="minorEastAsia"/>
                <w:szCs w:val="21"/>
              </w:rPr>
              <w:t>污泥化学调质深度脱水技术只需向污泥添加绝干污泥量10%左右的混合脱水药剂，经机械压滤，即可使污泥泥饼的含水率从80%下降到60%以下，绝干污泥的燃烧热值下降不到10%，后续污泥干化焚烧过程不需要再添加辅助燃煤，大幅度减少了污泥的处理处置费用。该药剂价格低廉，调质效果好，意欲在污水处理厂和污泥处置单元进行推广，该技术的研制与推广在江苏地区及全国将具有广阔的前景</w:t>
            </w:r>
            <w:r>
              <w:rPr>
                <w:rFonts w:hint="eastAsia" w:asciiTheme="minorEastAsia" w:hAnsiTheme="minorEastAsia"/>
                <w:kern w:val="24"/>
                <w:szCs w:val="21"/>
              </w:rPr>
              <w:t>。</w:t>
            </w:r>
          </w:p>
          <w:p>
            <w:pPr>
              <w:spacing w:line="360" w:lineRule="exact"/>
              <w:rPr>
                <w:rFonts w:asciiTheme="minorEastAsia" w:hAnsiTheme="minorEastAsia"/>
                <w:szCs w:val="21"/>
              </w:rPr>
            </w:pPr>
            <w:r>
              <w:rPr>
                <w:rFonts w:hint="eastAsia" w:asciiTheme="minorEastAsia" w:hAnsiTheme="minorEastAsia"/>
                <w:szCs w:val="21"/>
              </w:rPr>
              <w:t>该技术已在无锡市等城市污水污泥深度脱水中获得成功，并已获得国家发明专利一项。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污泥的溶剂深度脱水</w:t>
            </w:r>
          </w:p>
          <w:p>
            <w:pPr>
              <w:spacing w:line="360" w:lineRule="exact"/>
              <w:rPr>
                <w:rFonts w:asciiTheme="minorEastAsia" w:hAnsiTheme="minorEastAsia"/>
                <w:szCs w:val="21"/>
              </w:rPr>
            </w:pPr>
            <w:r>
              <w:rPr>
                <w:rFonts w:hint="eastAsia" w:asciiTheme="minorEastAsia" w:hAnsiTheme="minorEastAsia"/>
                <w:szCs w:val="21"/>
              </w:rPr>
              <w:t>与燃料化技术</w:t>
            </w:r>
          </w:p>
        </w:tc>
        <w:tc>
          <w:tcPr>
            <w:tcW w:w="1276" w:type="dxa"/>
            <w:tcBorders>
              <w:tl2br w:val="nil"/>
              <w:tr2bl w:val="nil"/>
            </w:tcBorders>
          </w:tcPr>
          <w:p>
            <w:pPr>
              <w:spacing w:line="360" w:lineRule="exact"/>
              <w:rPr>
                <w:rFonts w:asciiTheme="minorEastAsia" w:hAnsiTheme="minorEastAsia"/>
                <w:szCs w:val="21"/>
              </w:rPr>
            </w:pPr>
            <w:r>
              <w:rPr>
                <w:rFonts w:hint="eastAsia" w:cs="宋体" w:asciiTheme="minorEastAsia" w:hAnsiTheme="minorEastAsia"/>
                <w:color w:val="000000"/>
                <w:kern w:val="0"/>
                <w:szCs w:val="21"/>
              </w:rPr>
              <w:t>合作开发</w:t>
            </w:r>
          </w:p>
        </w:tc>
        <w:tc>
          <w:tcPr>
            <w:tcW w:w="1701" w:type="dxa"/>
            <w:tcBorders>
              <w:tl2br w:val="nil"/>
              <w:tr2bl w:val="nil"/>
            </w:tcBorders>
          </w:tcPr>
          <w:p>
            <w:pPr>
              <w:spacing w:line="360" w:lineRule="exact"/>
              <w:rPr>
                <w:rFonts w:asciiTheme="minorEastAsia" w:hAnsiTheme="minorEastAsia"/>
                <w:szCs w:val="21"/>
              </w:rPr>
            </w:pPr>
            <w:r>
              <w:rPr>
                <w:rFonts w:hint="eastAsia" w:cs="宋体" w:asciiTheme="minorEastAsia" w:hAnsiTheme="minorEastAsia"/>
                <w:color w:val="000000"/>
                <w:kern w:val="0"/>
                <w:szCs w:val="21"/>
              </w:rPr>
              <w:t>研制阶段</w:t>
            </w:r>
          </w:p>
        </w:tc>
        <w:tc>
          <w:tcPr>
            <w:tcW w:w="6553" w:type="dxa"/>
            <w:tcBorders>
              <w:tl2br w:val="nil"/>
              <w:tr2bl w:val="nil"/>
            </w:tcBorders>
          </w:tcPr>
          <w:p>
            <w:pPr>
              <w:spacing w:line="360" w:lineRule="exact"/>
              <w:rPr>
                <w:rFonts w:asciiTheme="minorEastAsia" w:hAnsiTheme="minorEastAsia"/>
                <w:szCs w:val="21"/>
              </w:rPr>
            </w:pPr>
            <w:r>
              <w:rPr>
                <w:rFonts w:asciiTheme="minorEastAsia" w:hAnsiTheme="minorEastAsia"/>
                <w:szCs w:val="21"/>
              </w:rPr>
              <w:t>城市污泥</w:t>
            </w:r>
            <w:r>
              <w:rPr>
                <w:rFonts w:hint="eastAsia" w:asciiTheme="minorEastAsia" w:hAnsiTheme="minorEastAsia"/>
                <w:szCs w:val="21"/>
              </w:rPr>
              <w:t>溶剂</w:t>
            </w:r>
            <w:r>
              <w:rPr>
                <w:rFonts w:asciiTheme="minorEastAsia" w:hAnsiTheme="minorEastAsia"/>
                <w:szCs w:val="21"/>
              </w:rPr>
              <w:t>深度脱水技术是利用液态</w:t>
            </w:r>
            <w:r>
              <w:rPr>
                <w:rFonts w:hint="eastAsia" w:asciiTheme="minorEastAsia" w:hAnsiTheme="minorEastAsia"/>
                <w:szCs w:val="21"/>
              </w:rPr>
              <w:t>溶剂</w:t>
            </w:r>
            <w:r>
              <w:rPr>
                <w:rFonts w:asciiTheme="minorEastAsia" w:hAnsiTheme="minorEastAsia"/>
                <w:szCs w:val="21"/>
              </w:rPr>
              <w:t>萃取去除污泥中水分的一种新技术，在室温和适度的压力下，液态</w:t>
            </w:r>
            <w:r>
              <w:rPr>
                <w:rFonts w:hint="eastAsia" w:asciiTheme="minorEastAsia" w:hAnsiTheme="minorEastAsia"/>
                <w:szCs w:val="21"/>
              </w:rPr>
              <w:t>溶剂</w:t>
            </w:r>
            <w:r>
              <w:rPr>
                <w:rFonts w:asciiTheme="minorEastAsia" w:hAnsiTheme="minorEastAsia"/>
                <w:szCs w:val="21"/>
              </w:rPr>
              <w:t>可以有效地用于污泥深度脱水。</w:t>
            </w:r>
            <w:r>
              <w:rPr>
                <w:rFonts w:hint="eastAsia" w:asciiTheme="minorEastAsia" w:hAnsiTheme="minorEastAsia"/>
                <w:szCs w:val="21"/>
              </w:rPr>
              <w:t>目前自行设计并制造了中试实验装置，</w:t>
            </w:r>
            <w:r>
              <w:rPr>
                <w:rFonts w:asciiTheme="minorEastAsia" w:hAnsiTheme="minorEastAsia"/>
                <w:szCs w:val="21"/>
              </w:rPr>
              <w:t>每次</w:t>
            </w:r>
            <w:r>
              <w:rPr>
                <w:rFonts w:hint="eastAsia" w:asciiTheme="minorEastAsia" w:hAnsiTheme="minorEastAsia"/>
                <w:szCs w:val="21"/>
              </w:rPr>
              <w:t>最多</w:t>
            </w:r>
            <w:r>
              <w:rPr>
                <w:rFonts w:asciiTheme="minorEastAsia" w:hAnsiTheme="minorEastAsia"/>
                <w:szCs w:val="21"/>
              </w:rPr>
              <w:t>可处理污泥1Kg，每日</w:t>
            </w:r>
            <w:r>
              <w:rPr>
                <w:rFonts w:hint="eastAsia" w:asciiTheme="minorEastAsia" w:hAnsiTheme="minorEastAsia"/>
                <w:szCs w:val="21"/>
              </w:rPr>
              <w:t>最大</w:t>
            </w:r>
            <w:r>
              <w:rPr>
                <w:rFonts w:asciiTheme="minorEastAsia" w:hAnsiTheme="minorEastAsia"/>
                <w:szCs w:val="21"/>
              </w:rPr>
              <w:t>可处理50kg的污泥，可实现污泥脱水后含水率&lt;40%，最低达到17.3%，且污泥热值下降&lt;10%</w:t>
            </w:r>
            <w:r>
              <w:rPr>
                <w:rFonts w:hint="eastAsia" w:asciiTheme="minorEastAsia" w:hAnsiTheme="minorEastAsia"/>
                <w:szCs w:val="21"/>
              </w:rPr>
              <w:t>，污泥脱水后直接成为燃料可替代煤使用</w:t>
            </w:r>
            <w:r>
              <w:rPr>
                <w:rFonts w:asciiTheme="minorEastAsia" w:hAnsiTheme="minorEastAsia"/>
                <w:szCs w:val="21"/>
              </w:rPr>
              <w:t>。</w:t>
            </w:r>
          </w:p>
          <w:p>
            <w:pPr>
              <w:spacing w:line="360" w:lineRule="exact"/>
              <w:rPr>
                <w:rFonts w:asciiTheme="minorEastAsia" w:hAnsiTheme="minorEastAsia"/>
                <w:szCs w:val="21"/>
              </w:rPr>
            </w:pPr>
            <w:r>
              <w:rPr>
                <w:rFonts w:hint="eastAsia" w:asciiTheme="minorEastAsia" w:hAnsiTheme="minorEastAsia"/>
                <w:szCs w:val="21"/>
              </w:rPr>
              <w:t>该技术具有价格低廉，应用广泛，环保清洁，易于工业化生产的优点，因此这项技术具有极好的产业化前景。该技术已申请国家发明专利一项，欲联合相关机械制造公司，环保设备公司，进行污泥的溶剂深度脱水设备的成套化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restart"/>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生物质热解制取生物油及油品提质技术</w:t>
            </w:r>
          </w:p>
        </w:tc>
        <w:tc>
          <w:tcPr>
            <w:tcW w:w="1276"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701"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成果产品生物质热解-提质成套装备与技术，主要用于将生物质转化为高品质的液体燃料，替代石油作为车用燃油。工艺采用国内外首创自热式单床内循环串行床对生物质热解，耦联“分级转化”（酯化-加氢）技术对热解生物油提质。中试数据表明该装备生物油产率较传统双床提高10%，</w:t>
            </w:r>
            <w:r>
              <w:rPr>
                <w:rFonts w:asciiTheme="minorEastAsia" w:hAnsiTheme="minorEastAsia"/>
                <w:szCs w:val="21"/>
              </w:rPr>
              <w:t>建造成本</w:t>
            </w:r>
            <w:r>
              <w:rPr>
                <w:rFonts w:hint="eastAsia" w:asciiTheme="minorEastAsia" w:hAnsiTheme="minorEastAsia"/>
                <w:szCs w:val="21"/>
              </w:rPr>
              <w:t>较传统双床下降43%，运行成本下降36%，投资成本较低，提质后车用燃料收率高达传统工艺3倍，应用前景广阔。该成果目前已获4项国家发明专利，8项发明专利正在申请中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循环流化床锅炉自激串行高温电力-旋风气固分离技术及装置</w:t>
            </w:r>
          </w:p>
        </w:tc>
        <w:tc>
          <w:tcPr>
            <w:tcW w:w="1276"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701"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在循环流化床锅炉高温物料分离环节中采用无电晕高温静电气固分离技术与传统的离心气固分离技术整合，实现了电力-旋风气固分离联合的生产新技术，此为无电晕高温静电气固分离技术应用的一项重大创新。本技术及其装置可应用于烟气温度为850-1000</w:t>
            </w:r>
            <w:r>
              <w:rPr>
                <w:rFonts w:hint="eastAsia" w:asciiTheme="minorEastAsia" w:hAnsiTheme="minorEastAsia"/>
                <w:color w:val="000000"/>
                <w:szCs w:val="21"/>
              </w:rPr>
              <w:t>℃</w:t>
            </w:r>
            <w:r>
              <w:rPr>
                <w:rFonts w:hint="eastAsia" w:asciiTheme="minorEastAsia" w:hAnsiTheme="minorEastAsia"/>
                <w:szCs w:val="21"/>
              </w:rPr>
              <w:t xml:space="preserve"> 的气固分离场合，装置分离总效率达99.8%、d50达12 </w:t>
            </w:r>
            <w:r>
              <w:rPr>
                <w:rFonts w:asciiTheme="minorEastAsia" w:hAnsiTheme="minorEastAsia"/>
                <w:szCs w:val="21"/>
              </w:rPr>
              <w:t>μm</w:t>
            </w:r>
            <w:r>
              <w:rPr>
                <w:rFonts w:hint="eastAsia" w:asciiTheme="minorEastAsia" w:hAnsiTheme="minorEastAsia"/>
                <w:szCs w:val="21"/>
              </w:rPr>
              <w:t>，技术性能稳定、可靠，且具有一定的烟气脱硫脱销功能。目前本技术已完成工程中间试验，效果良好，具备试生产条件；其在高温工业烟气气固分离、粉尘排放污染治理等领域技术应用前景极佳。投资规模在离心气固分离部分为传统的绝热式旋风分离器制造成本，而无电晕高温静电气固分离部分则与同规模的单电场常规电晕式静电除尘器相当。本技术和中试装置已通过江苏省科技厅组织的专家论证和验收，并获得国家授权发明专利1项，实用新型专利3项。愿与有意向生产本新技术产品的企业共同合作开发，或向其转让产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一种干式蒸发器均液分配元件</w:t>
            </w:r>
          </w:p>
        </w:tc>
        <w:tc>
          <w:tcPr>
            <w:tcW w:w="1276"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701"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干式蒸发器主要应用于中小型制冷机。由于液体制冷剂从进口管进入干式蒸发器封头内再分配到多根传热管内时，因管子位置的差别存在严重的分配不均问题，使得部分传热管的能力没有发挥，影响了整机效率。本发明的干式蒸发器均液分配和旋流元件是带有帽檐的圆形帽体，帽体顶部设有一对旋流孔，其倾斜方向对称于圆形帽体的轴线，使制冷剂在传热管进口端部分节流和在传热管内产生旋流。本发明集均匀分配液体和强化传热于一身，结构简单，性能优良，可根据常用管子的尺寸系列用注塑模具大批量生产，成本低，装配方便，适应性强，可提高制冷机组的能效或降低成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2</w:t>
            </w:r>
          </w:p>
        </w:tc>
        <w:tc>
          <w:tcPr>
            <w:tcW w:w="1559" w:type="dxa"/>
            <w:vMerge w:val="restart"/>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土木交通</w:t>
            </w: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工业污染场地固化稳定化及隔离墙阻滞技术</w:t>
            </w:r>
          </w:p>
        </w:tc>
        <w:tc>
          <w:tcPr>
            <w:tcW w:w="1276"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701" w:type="dxa"/>
            <w:tcBorders>
              <w:tl2br w:val="nil"/>
              <w:tr2bl w:val="nil"/>
            </w:tcBorders>
          </w:tcPr>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小批量</w:t>
            </w:r>
          </w:p>
          <w:p>
            <w:pPr>
              <w:spacing w:line="36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生产阶段</w:t>
            </w:r>
          </w:p>
        </w:tc>
        <w:tc>
          <w:tcPr>
            <w:tcW w:w="6553" w:type="dxa"/>
            <w:tcBorders>
              <w:tl2br w:val="nil"/>
              <w:tr2bl w:val="nil"/>
            </w:tcBorders>
          </w:tcPr>
          <w:p>
            <w:pPr>
              <w:spacing w:line="360" w:lineRule="exact"/>
              <w:ind w:firstLine="420" w:firstLineChars="200"/>
              <w:rPr>
                <w:rFonts w:asciiTheme="minorEastAsia" w:hAnsiTheme="minorEastAsia"/>
                <w:szCs w:val="21"/>
              </w:rPr>
            </w:pPr>
            <w:r>
              <w:rPr>
                <w:rFonts w:hint="eastAsia" w:asciiTheme="minorEastAsia" w:hAnsiTheme="minorEastAsia"/>
                <w:szCs w:val="21"/>
              </w:rPr>
              <w:t>本成果来源于国家863课题，符合国家战略性新兴节能环保产业需求。已授权国家发明专利4项。涉及1种高性能固化剂，并提供新型固化稳定、阻滞隔离及软土改良等3种技术工法。相关修复技术对高风险工业污染场地重金属及多种有机污染物具有显著的固定及阻滞效果，场地修复后可直接作为城市绿化用地、建筑浅层基础、路基填料等循环再利用。相关成果可推广应用在环保工程、道路工程、岩土工程等领域。</w:t>
            </w:r>
          </w:p>
          <w:p>
            <w:pPr>
              <w:spacing w:line="360" w:lineRule="exact"/>
              <w:ind w:firstLine="420" w:firstLineChars="200"/>
              <w:rPr>
                <w:rFonts w:asciiTheme="minorEastAsia" w:hAnsiTheme="minorEastAsia"/>
                <w:szCs w:val="21"/>
              </w:rPr>
            </w:pPr>
            <w:r>
              <w:rPr>
                <w:rFonts w:hint="eastAsia" w:cs="宋体" w:asciiTheme="minorEastAsia" w:hAnsiTheme="minorEastAsia"/>
                <w:kern w:val="0"/>
                <w:szCs w:val="21"/>
              </w:rPr>
              <w:t>本成果提供的新型污染场地修复及软土改良施工工法，工程造价节省至传统施工工艺60%以上，施工周期缩短50%，经济效益显著。已在南京、常州、株洲、靖江等多处工业污染场地及高速公路现场开展了中试试验和示范工程，获得了业主和评审专家一致好评，竞争潜力巨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基于神经网络技术的大体积混凝土综合强度测试法（ZL 2008 1 0124126.4）</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技术咨询</w:t>
            </w:r>
          </w:p>
          <w:p>
            <w:pPr>
              <w:spacing w:line="360" w:lineRule="exact"/>
              <w:rPr>
                <w:rFonts w:asciiTheme="minorEastAsia" w:hAnsiTheme="minorEastAsia"/>
                <w:szCs w:val="21"/>
              </w:rPr>
            </w:pPr>
            <w:r>
              <w:rPr>
                <w:rFonts w:hint="eastAsia" w:asciiTheme="minorEastAsia" w:hAnsiTheme="minorEastAsia"/>
                <w:szCs w:val="21"/>
              </w:rPr>
              <w:t>技术服务</w:t>
            </w:r>
          </w:p>
        </w:tc>
        <w:tc>
          <w:tcPr>
            <w:tcW w:w="1701" w:type="dxa"/>
            <w:tcBorders>
              <w:tl2br w:val="nil"/>
              <w:tr2bl w:val="nil"/>
            </w:tcBorders>
          </w:tcPr>
          <w:p>
            <w:pPr>
              <w:spacing w:line="360" w:lineRule="exact"/>
              <w:rPr>
                <w:rFonts w:asciiTheme="minorEastAsia" w:hAnsiTheme="minorEastAsia"/>
                <w:szCs w:val="21"/>
              </w:rPr>
            </w:pPr>
          </w:p>
        </w:tc>
        <w:tc>
          <w:tcPr>
            <w:tcW w:w="6553" w:type="dxa"/>
            <w:tcBorders>
              <w:tl2br w:val="nil"/>
              <w:tr2bl w:val="nil"/>
            </w:tcBorders>
          </w:tcPr>
          <w:p>
            <w:pPr>
              <w:spacing w:line="360" w:lineRule="exact"/>
              <w:ind w:firstLine="420"/>
              <w:rPr>
                <w:rFonts w:asciiTheme="minorEastAsia" w:hAnsiTheme="minorEastAsia"/>
                <w:szCs w:val="21"/>
              </w:rPr>
            </w:pPr>
            <w:r>
              <w:rPr>
                <w:rFonts w:asciiTheme="minorEastAsia" w:hAnsiTheme="minorEastAsia"/>
                <w:szCs w:val="21"/>
              </w:rPr>
              <w:t>本发明专利创建了一种基于神经网络技术的超声-回弹-钻芯综合测试法，该法综合了超声-回弹法和钻芯法两种混凝土测强技术的优点，解决了超声-回弹法测试数据不可靠和钻芯取样法对结构损伤大的问题。此外，该法引入了神经网络这一现代计算数据分析技术，革新了传统的混凝土强度检测技术。该技术获2012江苏省科技进步一等奖、2013国家科技进步二等奖、2013江苏省专利项目优秀奖获等。</w:t>
            </w:r>
          </w:p>
          <w:p>
            <w:pPr>
              <w:spacing w:line="360" w:lineRule="exact"/>
              <w:rPr>
                <w:rFonts w:asciiTheme="minorEastAsia" w:hAnsiTheme="minorEastAsia"/>
                <w:szCs w:val="21"/>
              </w:rPr>
            </w:pPr>
            <w:r>
              <w:rPr>
                <w:rFonts w:asciiTheme="minorEastAsia" w:hAnsiTheme="minorEastAsia"/>
                <w:szCs w:val="21"/>
              </w:rPr>
              <w:t>近年，本发明在多个典型大体积混凝土结构工程项目中进行了成功的实践应用，有效地解决了大型混凝土结构的强度测试和性能评价问题。随着其实际应用的展开，本团队希望与企业进行合作，研发与本专利相关的配套测试设备——混凝土强度综合测试仪，进一步增加该专利的工作效率，提升测试精度，提升结构在运营阶段的可靠性与安全性，保障人民群众的生命财产安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3</w:t>
            </w:r>
          </w:p>
        </w:tc>
        <w:tc>
          <w:tcPr>
            <w:tcW w:w="1559"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装备制造</w:t>
            </w: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机电系统的建模、分析与先进控制技术</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技术开发</w:t>
            </w:r>
          </w:p>
          <w:p>
            <w:pPr>
              <w:spacing w:line="360" w:lineRule="exact"/>
              <w:rPr>
                <w:rFonts w:asciiTheme="minorEastAsia" w:hAnsiTheme="minorEastAsia"/>
                <w:szCs w:val="21"/>
              </w:rPr>
            </w:pPr>
            <w:r>
              <w:rPr>
                <w:rFonts w:hint="eastAsia" w:asciiTheme="minorEastAsia" w:hAnsiTheme="minorEastAsia"/>
                <w:szCs w:val="21"/>
              </w:rPr>
              <w:t>技术咨询</w:t>
            </w:r>
          </w:p>
          <w:p>
            <w:pPr>
              <w:spacing w:line="360" w:lineRule="exact"/>
              <w:rPr>
                <w:rFonts w:asciiTheme="minorEastAsia" w:hAnsiTheme="minorEastAsia"/>
                <w:szCs w:val="21"/>
              </w:rPr>
            </w:pPr>
            <w:r>
              <w:rPr>
                <w:rFonts w:hint="eastAsia" w:asciiTheme="minorEastAsia" w:hAnsiTheme="minorEastAsia"/>
                <w:szCs w:val="21"/>
              </w:rPr>
              <w:t>技术服务</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ind w:firstLine="432"/>
              <w:rPr>
                <w:rFonts w:asciiTheme="minorEastAsia" w:hAnsiTheme="minorEastAsia"/>
                <w:szCs w:val="21"/>
              </w:rPr>
            </w:pPr>
            <w:r>
              <w:rPr>
                <w:rFonts w:hint="eastAsia" w:asciiTheme="minorEastAsia" w:hAnsiTheme="minorEastAsia"/>
                <w:szCs w:val="21"/>
              </w:rPr>
              <w:t>在现代化集成制造竞争激烈的环境下，仅仅依靠传统线性控制如PID是无法满足高精度高性能机电系统控制的需要。先进控制解决方案对系统建模分析提出了高要求。建模的准确与否直接关系到闭环系统精度和动态性能。面向各类机电系统，我们有一套有效的机电系统时域频域建模分析方法。干扰对闭环控制性能要求高的变频调速,运动控制等机电系统和相关制造工业过程系统影响严重，我们的成果是通过对摩擦,负载等各类干扰进行分析建模,根据不同机理特点设计对干扰的实时估计器，实现干扰前馈补偿技术。该技术不影响系统原有的反馈控制方案，可以与传统的PID或者其它先进反馈控制技术结合，实现基于前馈和反馈复合的先进抗干扰控制技术。</w:t>
            </w:r>
          </w:p>
          <w:p>
            <w:pPr>
              <w:spacing w:line="360" w:lineRule="exact"/>
              <w:ind w:firstLine="432"/>
              <w:rPr>
                <w:rFonts w:asciiTheme="minorEastAsia" w:hAnsiTheme="minorEastAsia"/>
                <w:szCs w:val="21"/>
              </w:rPr>
            </w:pPr>
            <w:r>
              <w:rPr>
                <w:rFonts w:hint="eastAsia" w:asciiTheme="minorEastAsia" w:hAnsiTheme="minorEastAsia"/>
                <w:szCs w:val="21"/>
              </w:rPr>
              <w:t>我们提出了从建模、分析、先进控制方法设计到具体实现参数、规律总结凝炼等一整套的机电系统先进控制解决方案，成果已经应用于企业多个型号的机电产品，一方面可以明显提升机电系统的性能(从软件算法上保证系统的高精度或精密控制需求)，另外一方面，可以实现机电系统多种智能功能(惯量等关键参数的离线</w:t>
            </w:r>
            <w:r>
              <w:rPr>
                <w:rFonts w:asciiTheme="minorEastAsia" w:hAnsiTheme="minorEastAsia"/>
                <w:szCs w:val="21"/>
              </w:rPr>
              <w:t>/</w:t>
            </w:r>
            <w:r>
              <w:rPr>
                <w:rFonts w:hint="eastAsia" w:asciiTheme="minorEastAsia" w:hAnsiTheme="minorEastAsia"/>
                <w:szCs w:val="21"/>
              </w:rPr>
              <w:t>在线辨识功能、摩擦辨识与补偿功能、控制器参数自整定功能、无传感控制功能等)。</w:t>
            </w:r>
          </w:p>
          <w:p>
            <w:pPr>
              <w:spacing w:line="360" w:lineRule="exact"/>
              <w:rPr>
                <w:rFonts w:asciiTheme="minorEastAsia" w:hAnsiTheme="minorEastAsia"/>
                <w:szCs w:val="21"/>
              </w:rPr>
            </w:pPr>
            <w:r>
              <w:rPr>
                <w:rFonts w:hint="eastAsia" w:asciiTheme="minorEastAsia" w:hAnsiTheme="minorEastAsia"/>
                <w:kern w:val="24"/>
                <w:szCs w:val="21"/>
              </w:rPr>
              <w:t>已经获得国家发明专利4项，申请授权多项。技术成熟，参数调节已经规律化，解决方案尤其适合摩擦、建模不准、干扰等严重影响精度性能的机电系统应用场合。成果获得省部级科技进步奖1次。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4</w:t>
            </w:r>
          </w:p>
        </w:tc>
        <w:tc>
          <w:tcPr>
            <w:tcW w:w="1559"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新材料</w:t>
            </w:r>
          </w:p>
        </w:tc>
        <w:tc>
          <w:tcPr>
            <w:tcW w:w="2551" w:type="dxa"/>
            <w:tcBorders>
              <w:tl2br w:val="nil"/>
              <w:tr2bl w:val="nil"/>
            </w:tcBorders>
          </w:tcPr>
          <w:p>
            <w:pPr>
              <w:spacing w:line="360" w:lineRule="exact"/>
              <w:rPr>
                <w:rFonts w:asciiTheme="minorEastAsia" w:hAnsiTheme="minorEastAsia"/>
                <w:szCs w:val="21"/>
              </w:rPr>
            </w:pPr>
            <w:r>
              <w:rPr>
                <w:rFonts w:asciiTheme="minorEastAsia" w:hAnsiTheme="minorEastAsia"/>
                <w:szCs w:val="21"/>
              </w:rPr>
              <w:t>硅基功率集成的可靠性关键技术与应用</w:t>
            </w:r>
          </w:p>
        </w:tc>
        <w:tc>
          <w:tcPr>
            <w:tcW w:w="1276" w:type="dxa"/>
            <w:tcBorders>
              <w:tl2br w:val="nil"/>
              <w:tr2bl w:val="nil"/>
            </w:tcBorders>
          </w:tcPr>
          <w:p>
            <w:pPr>
              <w:spacing w:line="360" w:lineRule="exact"/>
              <w:rPr>
                <w:rFonts w:asciiTheme="minorEastAsia" w:hAnsiTheme="minorEastAsia"/>
                <w:szCs w:val="21"/>
              </w:rPr>
            </w:pP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rPr>
                <w:rFonts w:asciiTheme="minorEastAsia" w:hAnsiTheme="minorEastAsia"/>
                <w:szCs w:val="21"/>
              </w:rPr>
            </w:pPr>
            <w:r>
              <w:rPr>
                <w:rFonts w:asciiTheme="minorEastAsia" w:hAnsiTheme="minorEastAsia"/>
                <w:szCs w:val="21"/>
              </w:rPr>
              <w:t>本</w:t>
            </w:r>
            <w:r>
              <w:rPr>
                <w:rFonts w:hint="eastAsia" w:asciiTheme="minorEastAsia" w:hAnsiTheme="minorEastAsia"/>
                <w:szCs w:val="21"/>
              </w:rPr>
              <w:t>成果</w:t>
            </w:r>
            <w:r>
              <w:rPr>
                <w:rFonts w:asciiTheme="minorEastAsia" w:hAnsiTheme="minorEastAsia"/>
                <w:szCs w:val="21"/>
              </w:rPr>
              <w:t>中，对硅基功率集成的可靠性关键技术进行了深入研究，系统性地构建了硅基功率集成的可靠性设计方法，基于项目核心研究成果，在无锡华润上华半导体有限公司</w:t>
            </w:r>
            <w:r>
              <w:rPr>
                <w:rFonts w:hint="eastAsia" w:asciiTheme="minorEastAsia" w:hAnsiTheme="minorEastAsia"/>
                <w:szCs w:val="21"/>
              </w:rPr>
              <w:t>成功建立</w:t>
            </w:r>
            <w:r>
              <w:rPr>
                <w:rFonts w:asciiTheme="minorEastAsia" w:hAnsiTheme="minorEastAsia"/>
                <w:szCs w:val="21"/>
              </w:rPr>
              <w:t>了100V体硅、200V</w:t>
            </w:r>
            <w:r>
              <w:rPr>
                <w:rFonts w:hint="eastAsia" w:asciiTheme="minorEastAsia" w:hAnsiTheme="minorEastAsia"/>
                <w:szCs w:val="21"/>
              </w:rPr>
              <w:t xml:space="preserve"> </w:t>
            </w:r>
            <w:r>
              <w:rPr>
                <w:rFonts w:asciiTheme="minorEastAsia" w:hAnsiTheme="minorEastAsia"/>
                <w:szCs w:val="21"/>
              </w:rPr>
              <w:t>SOI及700V外延等多个高可靠的高压BCD工艺平台，并在苏州博创、无锡硅动力、深圳</w:t>
            </w:r>
            <w:r>
              <w:rPr>
                <w:rFonts w:hint="eastAsia" w:asciiTheme="minorEastAsia" w:hAnsiTheme="minorEastAsia"/>
                <w:szCs w:val="21"/>
              </w:rPr>
              <w:t>市</w:t>
            </w:r>
            <w:r>
              <w:rPr>
                <w:rFonts w:asciiTheme="minorEastAsia" w:hAnsiTheme="minorEastAsia"/>
                <w:szCs w:val="21"/>
              </w:rPr>
              <w:t>明微及无锡芯朋等十余家公司的高压集成电路产品中实现量产。在功率集成器件的热载流子可靠性方面，创造性地提出了多种高热载流子可靠性的集成器件，包括带有阶梯栅氧化层的nLDMOS器件及带轻掺杂P型区的pLDMOS器件等；在功率集成器件的自保护可靠性方面，发明了带有“W”型缓冲层的SOI-nLIGBT器件和带有双埋层组合结构的SOI-nLIGBT器件等；在功率集成器件的安全工作区可靠性方面，提出了级联型功率SOI-nLIGBT器件、带有多晶硅二阶场极板的功率集成SOI-nLIGBT器件等；在功率集成电路隔离可靠性方面，提出了埋氧化层过刻蚀SOI深槽隔离结构及带有浮置岛状</w:t>
            </w:r>
            <w:r>
              <w:rPr>
                <w:rFonts w:hint="eastAsia" w:asciiTheme="minorEastAsia" w:hAnsiTheme="minorEastAsia"/>
                <w:szCs w:val="21"/>
              </w:rPr>
              <w:t>N</w:t>
            </w:r>
            <w:r>
              <w:rPr>
                <w:rFonts w:asciiTheme="minorEastAsia" w:hAnsiTheme="minorEastAsia"/>
                <w:szCs w:val="21"/>
              </w:rPr>
              <w:t>阱的外延隔离结构等；除此之外，在提升功率集成器件高温反偏可靠性方面，还提出了表面带淡P阱、淡N阱交替排列的高压器件终端结构。以上功率集成可靠性关键技术的突破及产业化应用，有力地推动了我国高端功率集成电路的发展，增强了产品的国际竞争力，打破了国外大公司的垄断</w:t>
            </w:r>
            <w:r>
              <w:rPr>
                <w:rFonts w:hint="eastAsia" w:asciiTheme="minorEastAsia" w:hAnsiTheme="minorEastAsia"/>
                <w:szCs w:val="21"/>
              </w:rPr>
              <w:t>。</w:t>
            </w:r>
          </w:p>
          <w:p>
            <w:pPr>
              <w:spacing w:line="360" w:lineRule="exac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restart"/>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骨修复用颗粒填充物</w:t>
            </w:r>
          </w:p>
          <w:p>
            <w:pPr>
              <w:spacing w:line="360" w:lineRule="exact"/>
              <w:rPr>
                <w:rFonts w:asciiTheme="minorEastAsia" w:hAnsiTheme="minorEastAsia"/>
                <w:szCs w:val="21"/>
              </w:rPr>
            </w:pP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ind w:firstLine="420" w:firstLineChars="200"/>
              <w:rPr>
                <w:rFonts w:asciiTheme="minorEastAsia" w:hAnsiTheme="minorEastAsia"/>
                <w:szCs w:val="21"/>
              </w:rPr>
            </w:pPr>
            <w:r>
              <w:rPr>
                <w:rFonts w:asciiTheme="minorEastAsia" w:hAnsiTheme="minorEastAsia"/>
                <w:szCs w:val="21"/>
              </w:rPr>
              <w:t>含有微孔的磷</w:t>
            </w:r>
            <w:r>
              <w:rPr>
                <w:rFonts w:hint="eastAsia" w:asciiTheme="minorEastAsia" w:hAnsiTheme="minorEastAsia"/>
                <w:szCs w:val="21"/>
              </w:rPr>
              <w:t>酸</w:t>
            </w:r>
            <w:r>
              <w:rPr>
                <w:rFonts w:asciiTheme="minorEastAsia" w:hAnsiTheme="minorEastAsia"/>
                <w:szCs w:val="21"/>
              </w:rPr>
              <w:t>钙陶瓷球</w:t>
            </w:r>
            <w:r>
              <w:rPr>
                <w:rFonts w:hint="eastAsia" w:asciiTheme="minorEastAsia" w:hAnsiTheme="minorEastAsia"/>
                <w:szCs w:val="21"/>
              </w:rPr>
              <w:t>形多孔颗粒</w:t>
            </w:r>
            <w:r>
              <w:rPr>
                <w:rFonts w:asciiTheme="minorEastAsia" w:hAnsiTheme="minorEastAsia"/>
                <w:szCs w:val="21"/>
              </w:rPr>
              <w:t>具有不规则颗粒所</w:t>
            </w:r>
            <w:r>
              <w:rPr>
                <w:rFonts w:hint="eastAsia" w:asciiTheme="minorEastAsia" w:hAnsiTheme="minorEastAsia"/>
                <w:szCs w:val="21"/>
              </w:rPr>
              <w:t>不具备</w:t>
            </w:r>
            <w:r>
              <w:rPr>
                <w:rFonts w:asciiTheme="minorEastAsia" w:hAnsiTheme="minorEastAsia"/>
                <w:szCs w:val="21"/>
              </w:rPr>
              <w:t>的优异性能，如高的流动性、高的堆积孔隙密度、不易团聚</w:t>
            </w:r>
            <w:r>
              <w:rPr>
                <w:rFonts w:hint="eastAsia" w:asciiTheme="minorEastAsia" w:hAnsiTheme="minorEastAsia"/>
                <w:szCs w:val="21"/>
              </w:rPr>
              <w:t>、</w:t>
            </w:r>
            <w:r>
              <w:rPr>
                <w:rFonts w:asciiTheme="minorEastAsia" w:hAnsiTheme="minorEastAsia"/>
                <w:szCs w:val="21"/>
              </w:rPr>
              <w:t>不易引起应力集中</w:t>
            </w:r>
            <w:r>
              <w:rPr>
                <w:rFonts w:hint="eastAsia" w:asciiTheme="minorEastAsia" w:hAnsiTheme="minorEastAsia"/>
                <w:szCs w:val="21"/>
              </w:rPr>
              <w:t>，</w:t>
            </w:r>
            <w:r>
              <w:rPr>
                <w:rFonts w:asciiTheme="minorEastAsia" w:hAnsiTheme="minorEastAsia"/>
                <w:szCs w:val="21"/>
              </w:rPr>
              <w:t>填充后</w:t>
            </w:r>
            <w:r>
              <w:rPr>
                <w:rFonts w:hint="eastAsia" w:asciiTheme="minorEastAsia" w:hAnsiTheme="minorEastAsia"/>
                <w:szCs w:val="21"/>
              </w:rPr>
              <w:t>能保持稳定而通畅的颗粒间通道，有利于组织生长过程中细胞营养和分泌物的输送。</w:t>
            </w:r>
          </w:p>
          <w:p>
            <w:pPr>
              <w:spacing w:line="360" w:lineRule="exact"/>
              <w:ind w:firstLine="420" w:firstLineChars="200"/>
              <w:rPr>
                <w:rFonts w:asciiTheme="minorEastAsia" w:hAnsiTheme="minorEastAsia"/>
                <w:szCs w:val="21"/>
              </w:rPr>
            </w:pPr>
            <w:r>
              <w:rPr>
                <w:rFonts w:hint="eastAsia" w:asciiTheme="minorEastAsia" w:hAnsiTheme="minorEastAsia"/>
                <w:szCs w:val="21"/>
              </w:rPr>
              <w:t>球形多孔颗粒材料</w:t>
            </w:r>
            <w:r>
              <w:rPr>
                <w:rFonts w:asciiTheme="minorEastAsia" w:hAnsiTheme="minorEastAsia"/>
                <w:szCs w:val="21"/>
              </w:rPr>
              <w:t>可用于骨缺损、牙根管和拔牙窝的充填</w:t>
            </w:r>
            <w:r>
              <w:rPr>
                <w:rFonts w:hint="eastAsia" w:asciiTheme="minorEastAsia" w:hAnsiTheme="minorEastAsia"/>
                <w:szCs w:val="21"/>
              </w:rPr>
              <w:t>，</w:t>
            </w:r>
            <w:r>
              <w:rPr>
                <w:rFonts w:asciiTheme="minorEastAsia" w:hAnsiTheme="minorEastAsia"/>
                <w:szCs w:val="21"/>
              </w:rPr>
              <w:t>牙周病所致牙槽骨吸收的修复、牙槽嵴增高、颌骨骨囊腔填塞、萎缩性鼻炎充填、乳突腔充填、整形（如鞍鼻美容）等骨缺损填充治疗</w:t>
            </w:r>
            <w:r>
              <w:rPr>
                <w:rFonts w:hint="eastAsia" w:asciiTheme="minorEastAsia" w:hAnsiTheme="minorEastAsia"/>
                <w:szCs w:val="21"/>
              </w:rPr>
              <w:t>，也可用于金属内固定骨钉去除后骨中所留孔洞的填充，以及骨质疏松引起的骨折的微创治疗</w:t>
            </w:r>
            <w:r>
              <w:rPr>
                <w:rFonts w:asciiTheme="minorEastAsia" w:hAnsiTheme="minorEastAsia"/>
                <w:szCs w:val="21"/>
              </w:rPr>
              <w:t>。</w:t>
            </w:r>
          </w:p>
          <w:p>
            <w:pPr>
              <w:spacing w:line="360" w:lineRule="exact"/>
              <w:ind w:firstLine="420" w:firstLineChars="200"/>
              <w:rPr>
                <w:rFonts w:asciiTheme="minorEastAsia" w:hAnsiTheme="minorEastAsia"/>
                <w:szCs w:val="21"/>
              </w:rPr>
            </w:pPr>
            <w:r>
              <w:rPr>
                <w:rFonts w:hint="eastAsia" w:asciiTheme="minorEastAsia" w:hAnsiTheme="minorEastAsia"/>
                <w:szCs w:val="21"/>
              </w:rPr>
              <w:t>研究团队已掌握了所开发产品生产的关键技术，希望通过技术转让和技术开发，实现产品的产业化转移。</w:t>
            </w:r>
          </w:p>
          <w:p>
            <w:pPr>
              <w:spacing w:line="360" w:lineRule="exact"/>
              <w:rPr>
                <w:rFonts w:asciiTheme="minorEastAsia" w:hAnsiTheme="minorEastAsia"/>
                <w:szCs w:val="21"/>
              </w:rPr>
            </w:pPr>
            <w:r>
              <w:rPr>
                <w:rFonts w:hint="eastAsia" w:asciiTheme="minorEastAsia" w:hAnsiTheme="minorEastAsia"/>
                <w:szCs w:val="21"/>
              </w:rPr>
              <w:t>磷酸钙陶瓷球形多孔颗粒属于Ⅲ类医疗器械，申报批准由国家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抗菌促愈功能性医用敷料</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技术服务</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ind w:firstLine="420" w:firstLineChars="200"/>
              <w:rPr>
                <w:rFonts w:asciiTheme="minorEastAsia" w:hAnsiTheme="minorEastAsia"/>
                <w:szCs w:val="21"/>
              </w:rPr>
            </w:pPr>
            <w:r>
              <w:rPr>
                <w:rFonts w:hint="eastAsia" w:asciiTheme="minorEastAsia" w:hAnsiTheme="minorEastAsia"/>
                <w:szCs w:val="21"/>
              </w:rPr>
              <w:t>壳聚糖海绵质脆、易断裂，强度和韧性不足，制备工艺较难控制，制约了相关产品的开发。通过对壳聚糖海绵制备工艺的深入研究，开发了壳聚糖海绵的高效连续制备工艺和装置，很好地解决了壳聚糖海绵的制备难题，正在申请国家发明专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可平面集成的毫米波高增益天线</w:t>
            </w:r>
          </w:p>
          <w:p>
            <w:pPr>
              <w:spacing w:line="360" w:lineRule="exact"/>
              <w:rPr>
                <w:rFonts w:asciiTheme="minorEastAsia" w:hAnsiTheme="minorEastAsia"/>
                <w:szCs w:val="21"/>
              </w:rPr>
            </w:pP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p>
            <w:pPr>
              <w:spacing w:line="360" w:lineRule="exact"/>
              <w:rPr>
                <w:rFonts w:asciiTheme="minorEastAsia" w:hAnsiTheme="minorEastAsia"/>
                <w:szCs w:val="21"/>
              </w:rPr>
            </w:pPr>
            <w:r>
              <w:rPr>
                <w:rFonts w:hint="eastAsia" w:asciiTheme="minorEastAsia" w:hAnsiTheme="minorEastAsia"/>
                <w:szCs w:val="21"/>
              </w:rPr>
              <w:t>技术咨询</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ind w:firstLine="420" w:firstLineChars="200"/>
              <w:rPr>
                <w:rFonts w:asciiTheme="minorEastAsia" w:hAnsiTheme="minorEastAsia"/>
                <w:szCs w:val="21"/>
              </w:rPr>
            </w:pPr>
            <w:r>
              <w:rPr>
                <w:rFonts w:hint="eastAsia" w:asciiTheme="minorEastAsia" w:hAnsiTheme="minorEastAsia"/>
                <w:szCs w:val="21"/>
              </w:rPr>
              <w:t>本成果是一类具有高效率、高增益的可与射频前端平面集成的大口径天线设计方案，其主要技术特点如下：毫米波频段(30-90GHz)、低剖面结构、平面形式馈源、高增益（&gt;30dBi）、高效率（30%-49%）。成果创新之处在于，提出采用平面馈源结构，实现与反射面或透镜的一体化集成；平面馈源可与射频电路共基片集成，即降低了天线剖面，同时也提高了天线的效率。设计理论与方法经实验验证是行之有效的，可适用于毫米波长距无线通信应用，目前已发表相关论文7篇，申请已受理发明专利2项（已受理1项）。</w:t>
            </w:r>
          </w:p>
          <w:p>
            <w:pPr>
              <w:spacing w:line="360" w:lineRule="exact"/>
              <w:ind w:firstLine="420" w:firstLineChars="20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自固化磷酸钙骨水泥</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ind w:firstLine="420" w:firstLineChars="200"/>
              <w:rPr>
                <w:rFonts w:asciiTheme="minorEastAsia" w:hAnsiTheme="minorEastAsia"/>
                <w:szCs w:val="21"/>
              </w:rPr>
            </w:pPr>
            <w:r>
              <w:rPr>
                <w:rFonts w:hint="eastAsia" w:asciiTheme="minorEastAsia" w:hAnsiTheme="minorEastAsia"/>
                <w:szCs w:val="21"/>
              </w:rPr>
              <w:t>自固化磷酸钙骨水泥由磷酸钙粉末和固化液两部分组成，使用时将两者按一定比例调和成膏状，用于骨缺损修复。膏状骨水泥可根据缺损处的解剖要求随意修整、塑形，准确填充骨缺损区域。</w:t>
            </w:r>
          </w:p>
          <w:p>
            <w:pPr>
              <w:spacing w:line="360" w:lineRule="exact"/>
              <w:ind w:firstLine="420" w:firstLineChars="200"/>
              <w:rPr>
                <w:rFonts w:asciiTheme="minorEastAsia" w:hAnsiTheme="minorEastAsia"/>
                <w:szCs w:val="21"/>
              </w:rPr>
            </w:pPr>
            <w:r>
              <w:rPr>
                <w:rFonts w:hint="eastAsia" w:asciiTheme="minorEastAsia" w:hAnsiTheme="minorEastAsia"/>
                <w:szCs w:val="21"/>
              </w:rPr>
              <w:t>自固化磷酸钙骨水泥克服了预成形陶瓷修复材料再塑形困难的缺点，避免了陶瓷与骨之间结合紧密性差，易于导致纤维组织的介入生长而影响修复的不足。与有机骨水泥PMMA固化时发热量大，温度可上升到80℃，可能导致周围组织的损伤相比，自固化磷酸钙骨水泥硬化过程放热量很小，不会产生明显的温度升高。</w:t>
            </w:r>
          </w:p>
          <w:p>
            <w:pPr>
              <w:spacing w:line="360" w:lineRule="exact"/>
              <w:ind w:firstLine="420" w:firstLineChars="200"/>
              <w:rPr>
                <w:rFonts w:asciiTheme="minorEastAsia" w:hAnsiTheme="minorEastAsia"/>
                <w:szCs w:val="21"/>
              </w:rPr>
            </w:pPr>
            <w:r>
              <w:rPr>
                <w:rFonts w:hint="eastAsia" w:asciiTheme="minorEastAsia" w:hAnsiTheme="minorEastAsia"/>
                <w:szCs w:val="21"/>
              </w:rPr>
              <w:t>研究团队已掌握了所开发产品生产的关键技术，希望通过技术转让和技术开发，实现产品的产业化转移。</w:t>
            </w:r>
          </w:p>
          <w:p>
            <w:pPr>
              <w:spacing w:line="360" w:lineRule="exact"/>
              <w:ind w:firstLine="420" w:firstLineChars="200"/>
              <w:rPr>
                <w:rFonts w:asciiTheme="minorEastAsia" w:hAnsiTheme="minorEastAsia"/>
                <w:szCs w:val="21"/>
              </w:rPr>
            </w:pPr>
            <w:r>
              <w:rPr>
                <w:rFonts w:hint="eastAsia" w:asciiTheme="minorEastAsia" w:hAnsiTheme="minorEastAsia"/>
                <w:szCs w:val="21"/>
              </w:rPr>
              <w:t>自固化磷酸钙骨水泥产品属于Ⅲ类医疗器械，申报批准由国家食品药品监督管理总局负责。本产品投资规模1500万，不含土地、厂房投入。</w:t>
            </w:r>
          </w:p>
          <w:p>
            <w:pPr>
              <w:spacing w:line="360" w:lineRule="exact"/>
              <w:ind w:firstLine="420" w:firstLineChars="200"/>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5</w:t>
            </w:r>
          </w:p>
        </w:tc>
        <w:tc>
          <w:tcPr>
            <w:tcW w:w="1559"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电子信息</w:t>
            </w: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基于PVDF压电薄膜的二维织物纹理检测装置</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p>
            <w:pPr>
              <w:spacing w:line="360" w:lineRule="exact"/>
              <w:rPr>
                <w:rFonts w:asciiTheme="minorEastAsia" w:hAnsiTheme="minorEastAsia"/>
                <w:szCs w:val="21"/>
              </w:rPr>
            </w:pPr>
            <w:r>
              <w:rPr>
                <w:rFonts w:hint="eastAsia" w:asciiTheme="minorEastAsia" w:hAnsiTheme="minorEastAsia"/>
                <w:szCs w:val="21"/>
              </w:rPr>
              <w:t>技术咨询</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表面纹理是人们识别物体的一个重要指标。同样对于机器人通过触摸感知周围环境来说，触觉纹理测量是必须的。本作品通过模拟人手主动感知物体表面纹理的过程，利用PVDF压电薄膜作为敏感介质，并搭建二维运动平台，实现对布料表面的纹理信号检测，并设计了合理的纹理检测实验，验证了此方案的可行性及准确性。经过FFT变换可获得不同布料的纹理特征频率，并利用PCA（主成分分析法）及SVM（支撑向量机）方法实现了纹理识别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restart"/>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埋入式智能路面传感器系统</w:t>
            </w:r>
          </w:p>
          <w:p>
            <w:pPr>
              <w:spacing w:line="360" w:lineRule="exact"/>
              <w:rPr>
                <w:rFonts w:asciiTheme="minorEastAsia" w:hAnsiTheme="minorEastAsia"/>
                <w:szCs w:val="21"/>
              </w:rPr>
            </w:pP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p>
            <w:pPr>
              <w:spacing w:line="360" w:lineRule="exact"/>
              <w:rPr>
                <w:rFonts w:asciiTheme="minorEastAsia" w:hAnsiTheme="minorEastAsia"/>
                <w:szCs w:val="21"/>
              </w:rPr>
            </w:pPr>
            <w:r>
              <w:rPr>
                <w:rFonts w:hint="eastAsia" w:asciiTheme="minorEastAsia" w:hAnsiTheme="minorEastAsia"/>
                <w:szCs w:val="21"/>
              </w:rPr>
              <w:t>技术咨询</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埋入式智能路面传感器系统开发团队以韩磊副研究员、殷刚毅副研究员为核心，包括多名博士研究生和硕士研究生参与，以国家863计划课题“水陆交通传感器及系统”（项目号：2011AA040404）和交通运输部标准计量质量研究项目“路面状况检测器检测技术及检测方法研究”（项目号：2012-318-223-100）为基础，研发出了目前国内唯一批量实用化的埋入式智能路面传感器系统，并成为唯一参与埋入式路面传感器系统国家标准制定的研究开发机构。该研究团队拥有国内对埋入式智能路面传感器系统研发经验最丰富、工程化工作最细致的研发人员，并拥有目前全国唯一的全套路面传感器系统指标检测和标定设备的实验室，在路面传感器系统的研发和实用化方面走在全国的前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p>
        </w:tc>
        <w:tc>
          <w:tcPr>
            <w:tcW w:w="1559" w:type="dxa"/>
            <w:vMerge w:val="continue"/>
            <w:tcBorders>
              <w:tl2br w:val="nil"/>
              <w:tr2bl w:val="nil"/>
            </w:tcBorders>
          </w:tcPr>
          <w:p>
            <w:pPr>
              <w:spacing w:line="360" w:lineRule="exact"/>
              <w:rPr>
                <w:rFonts w:asciiTheme="minorEastAsia" w:hAnsiTheme="minorEastAsia"/>
                <w:szCs w:val="21"/>
              </w:rPr>
            </w:pP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面向盲人辅助系统的纹理力/触觉再现表达技术研究</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p>
            <w:pPr>
              <w:spacing w:line="360" w:lineRule="exact"/>
              <w:rPr>
                <w:rFonts w:asciiTheme="minorEastAsia" w:hAnsiTheme="minorEastAsia"/>
                <w:szCs w:val="21"/>
              </w:rPr>
            </w:pPr>
            <w:r>
              <w:rPr>
                <w:rFonts w:hint="eastAsia" w:asciiTheme="minorEastAsia" w:hAnsiTheme="minorEastAsia"/>
                <w:szCs w:val="21"/>
              </w:rPr>
              <w:t>技术开发</w:t>
            </w:r>
          </w:p>
          <w:p>
            <w:pPr>
              <w:spacing w:line="360" w:lineRule="exact"/>
              <w:rPr>
                <w:rFonts w:asciiTheme="minorEastAsia" w:hAnsiTheme="minorEastAsia"/>
                <w:szCs w:val="21"/>
              </w:rPr>
            </w:pPr>
            <w:r>
              <w:rPr>
                <w:rFonts w:hint="eastAsia" w:asciiTheme="minorEastAsia" w:hAnsiTheme="minorEastAsia"/>
                <w:szCs w:val="21"/>
              </w:rPr>
              <w:t>技术咨询</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本研究</w:t>
            </w:r>
            <w:r>
              <w:rPr>
                <w:rFonts w:asciiTheme="minorEastAsia" w:hAnsiTheme="minorEastAsia"/>
                <w:szCs w:val="21"/>
              </w:rPr>
              <w:t>针对表面存在色彩图案的物体二维图像</w:t>
            </w:r>
            <w:r>
              <w:rPr>
                <w:rFonts w:hint="eastAsia" w:asciiTheme="minorEastAsia" w:hAnsiTheme="minorEastAsia"/>
                <w:szCs w:val="21"/>
              </w:rPr>
              <w:t>，采用本征图像分解的方法，</w:t>
            </w:r>
            <w:r>
              <w:rPr>
                <w:rFonts w:asciiTheme="minorEastAsia" w:hAnsiTheme="minorEastAsia"/>
                <w:szCs w:val="21"/>
              </w:rPr>
              <w:t>区分出包含三维形状信息的明暗图像以及包含二维图案信息的反射图像。针对表面存在细节纹理的物体二维图像，采用基于偏微分方程的图像分解方法，区分出包含轮廓形状信息的卡通图像以及包含细节纹理信息的纹理图像</w:t>
            </w:r>
            <w:r>
              <w:rPr>
                <w:rFonts w:hint="eastAsia" w:asciiTheme="minorEastAsia" w:hAnsiTheme="minorEastAsia"/>
                <w:szCs w:val="21"/>
              </w:rPr>
              <w:t>。</w:t>
            </w:r>
            <w:r>
              <w:rPr>
                <w:rFonts w:asciiTheme="minorEastAsia" w:hAnsiTheme="minorEastAsia"/>
                <w:szCs w:val="21"/>
              </w:rPr>
              <w:t>对反映物体表面纹理信息的纹理图像，利用自适应分数阶微分方法细化纹理特征。至此完整得到了二维图像中的三维形状轮廓信息、表面细节纹理信息以及二维色彩图案信息。应用全局化的明暗恢复形状技术，恢复得到三维物体几何模型</w:t>
            </w:r>
            <w:r>
              <w:rPr>
                <w:rFonts w:hint="eastAsia" w:asciiTheme="minorEastAsia" w:hAnsiTheme="minorEastAsia"/>
                <w:szCs w:val="21"/>
              </w:rPr>
              <w:t>，</w:t>
            </w:r>
            <w:r>
              <w:rPr>
                <w:rFonts w:asciiTheme="minorEastAsia" w:hAnsiTheme="minorEastAsia"/>
                <w:szCs w:val="21"/>
              </w:rPr>
              <w:t>将</w:t>
            </w:r>
            <w:r>
              <w:rPr>
                <w:rFonts w:hint="eastAsia" w:asciiTheme="minorEastAsia" w:hAnsiTheme="minorEastAsia"/>
                <w:szCs w:val="21"/>
              </w:rPr>
              <w:t>其</w:t>
            </w:r>
            <w:r>
              <w:rPr>
                <w:rFonts w:asciiTheme="minorEastAsia" w:hAnsiTheme="minorEastAsia"/>
                <w:szCs w:val="21"/>
              </w:rPr>
              <w:t>应用于纹理力</w:t>
            </w:r>
            <w:r>
              <w:rPr>
                <w:rFonts w:hint="eastAsia" w:asciiTheme="minorEastAsia" w:hAnsiTheme="minorEastAsia"/>
                <w:szCs w:val="21"/>
              </w:rPr>
              <w:t>/</w:t>
            </w:r>
            <w:r>
              <w:rPr>
                <w:rFonts w:asciiTheme="minorEastAsia" w:hAnsiTheme="minorEastAsia"/>
                <w:szCs w:val="21"/>
              </w:rPr>
              <w:t>触觉再现系统中，通过God-Object力</w:t>
            </w:r>
            <w:r>
              <w:rPr>
                <w:rFonts w:hint="eastAsia" w:asciiTheme="minorEastAsia" w:hAnsiTheme="minorEastAsia"/>
                <w:szCs w:val="21"/>
              </w:rPr>
              <w:t>/</w:t>
            </w:r>
            <w:r>
              <w:rPr>
                <w:rFonts w:asciiTheme="minorEastAsia" w:hAnsiTheme="minorEastAsia"/>
                <w:szCs w:val="21"/>
              </w:rPr>
              <w:t>触觉渲染方法，使操作者得以感知物体的三维形状轮廓。综合以上内容，操作者在力</w:t>
            </w:r>
            <w:r>
              <w:rPr>
                <w:rFonts w:hint="eastAsia" w:asciiTheme="minorEastAsia" w:hAnsiTheme="minorEastAsia"/>
                <w:szCs w:val="21"/>
              </w:rPr>
              <w:t>/</w:t>
            </w:r>
            <w:r>
              <w:rPr>
                <w:rFonts w:asciiTheme="minorEastAsia" w:hAnsiTheme="minorEastAsia"/>
                <w:szCs w:val="21"/>
              </w:rPr>
              <w:t>触觉感知过程中得以从多个角度综合了解图像信息，从而对图像中的物体产生真实而全面的理解和感知，提高了操作者对图像内容的识别感知能力。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6</w:t>
            </w:r>
          </w:p>
        </w:tc>
        <w:tc>
          <w:tcPr>
            <w:tcW w:w="1559"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生物医药</w:t>
            </w:r>
          </w:p>
        </w:tc>
        <w:tc>
          <w:tcPr>
            <w:tcW w:w="255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一种预防传染病用医用口罩</w:t>
            </w:r>
          </w:p>
        </w:tc>
        <w:tc>
          <w:tcPr>
            <w:tcW w:w="1276"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技术转让</w:t>
            </w:r>
          </w:p>
        </w:tc>
        <w:tc>
          <w:tcPr>
            <w:tcW w:w="1701"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均可</w:t>
            </w:r>
          </w:p>
        </w:tc>
        <w:tc>
          <w:tcPr>
            <w:tcW w:w="6553" w:type="dxa"/>
            <w:tcBorders>
              <w:tl2br w:val="nil"/>
              <w:tr2bl w:val="nil"/>
            </w:tcBorders>
          </w:tcPr>
          <w:p>
            <w:pPr>
              <w:spacing w:line="360" w:lineRule="exact"/>
              <w:rPr>
                <w:rFonts w:asciiTheme="minorEastAsia" w:hAnsiTheme="minorEastAsia"/>
                <w:szCs w:val="21"/>
              </w:rPr>
            </w:pPr>
            <w:r>
              <w:rPr>
                <w:rFonts w:hint="eastAsia" w:asciiTheme="minorEastAsia" w:hAnsiTheme="minorEastAsia"/>
                <w:szCs w:val="21"/>
              </w:rPr>
              <w:t>本实用新型涉及医疗器械装置技术领域，具体的是一种预防传染病用医用口罩。主要特点是克服现有产品的不足，在现有产品的基础上改进，提供一种使用方便的预防传染病用医用口罩。该口罩包括挂带和罩体，所述罩体的中央设置有开口，罩体外表面对应开口处缝制一块遮挡布，所述遮挡布根部缝制在开口的纵侧边的一侧，遮挡布与罩体表面相交处分别固定可以相连的连接件，为磁铁或魔术贴。该口罩设计简单合理，构思新颖，使用方便，并且不会误用，应用前景广阔，市场需求高。该技术已获专利授权，希望将该技术以一次性转让的方式进行推广，促进其实现产业化。</w:t>
            </w:r>
          </w:p>
        </w:tc>
      </w:tr>
    </w:tbl>
    <w:p>
      <w:pPr>
        <w:spacing w:line="360" w:lineRule="exact"/>
        <w:rPr>
          <w:rFonts w:asciiTheme="minorEastAsia" w:hAnsiTheme="minorEastAsia"/>
          <w:szCs w:val="21"/>
        </w:rPr>
      </w:pPr>
    </w:p>
    <w:p>
      <w:pPr>
        <w:spacing w:line="360" w:lineRule="exact"/>
        <w:rPr>
          <w:rFonts w:asciiTheme="minorEastAsia" w:hAnsiTheme="minorEastAsia"/>
          <w:szCs w:val="21"/>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985"/>
    <w:rsid w:val="00185197"/>
    <w:rsid w:val="001B3985"/>
    <w:rsid w:val="0056318D"/>
    <w:rsid w:val="005E02E0"/>
    <w:rsid w:val="00637B7F"/>
    <w:rsid w:val="00787AC6"/>
    <w:rsid w:val="00812EC4"/>
    <w:rsid w:val="008135D3"/>
    <w:rsid w:val="00D158CC"/>
    <w:rsid w:val="00E96A9E"/>
    <w:rsid w:val="11E6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890</Words>
  <Characters>5075</Characters>
  <Lines>42</Lines>
  <Paragraphs>11</Paragraphs>
  <TotalTime>0</TotalTime>
  <ScaleCrop>false</ScaleCrop>
  <LinksUpToDate>false</LinksUpToDate>
  <CharactersWithSpaces>5954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2018-05-14T08:38:00Z</dcterms:created>
  <dc:creator>lenovo</dc:creator>
  <cp:lastModifiedBy>戴立平</cp:lastModifiedBy>
  <dcterms:modified xsi:type="dcterms:W3CDTF">2018-05-17T09:43:07Z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