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eastAsia="仿宋_GB2312" w:cs="仿宋_GB2312"/>
          <w:sz w:val="32"/>
          <w:szCs w:val="32"/>
        </w:rPr>
      </w:pPr>
      <w:r>
        <w:rPr>
          <w:rFonts w:hint="eastAsia" w:eastAsia="仿宋_GB2312" w:cs="仿宋_GB2312"/>
          <w:sz w:val="32"/>
          <w:szCs w:val="32"/>
        </w:rPr>
        <w:t>附件1-4</w:t>
      </w:r>
    </w:p>
    <w:p>
      <w:pPr>
        <w:snapToGrid w:val="0"/>
        <w:spacing w:after="312" w:afterLines="100"/>
        <w:jc w:val="center"/>
        <w:rPr>
          <w:rFonts w:eastAsia="方正小标宋简体"/>
          <w:sz w:val="28"/>
          <w:szCs w:val="28"/>
        </w:rPr>
      </w:pPr>
      <w:r>
        <w:rPr>
          <w:rFonts w:hint="eastAsia" w:eastAsia="方正小标宋简体" w:cs="方正小标宋简体"/>
          <w:sz w:val="36"/>
          <w:szCs w:val="36"/>
        </w:rPr>
        <w:t>湖南省众创空间绩效评价指标</w:t>
      </w:r>
    </w:p>
    <w:tbl>
      <w:tblPr>
        <w:tblStyle w:val="3"/>
        <w:tblW w:w="9408"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31"/>
        <w:gridCol w:w="6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88" w:type="dxa"/>
            <w:vAlign w:val="top"/>
          </w:tcPr>
          <w:p>
            <w:pPr>
              <w:widowControl/>
              <w:adjustRightInd w:val="0"/>
              <w:snapToGrid w:val="0"/>
              <w:spacing w:line="400" w:lineRule="exact"/>
              <w:jc w:val="center"/>
              <w:rPr>
                <w:rFonts w:hint="eastAsia" w:eastAsia="仿宋_GB2312"/>
                <w:b/>
                <w:bCs/>
                <w:color w:val="000000"/>
                <w:sz w:val="24"/>
              </w:rPr>
            </w:pPr>
            <w:r>
              <w:rPr>
                <w:rFonts w:hint="eastAsia" w:eastAsia="仿宋_GB2312" w:cs="仿宋_GB2312"/>
                <w:b/>
                <w:bCs/>
                <w:color w:val="000000"/>
                <w:sz w:val="24"/>
              </w:rPr>
              <w:t>一级指标</w:t>
            </w:r>
          </w:p>
        </w:tc>
        <w:tc>
          <w:tcPr>
            <w:tcW w:w="1631" w:type="dxa"/>
            <w:vAlign w:val="top"/>
          </w:tcPr>
          <w:p>
            <w:pPr>
              <w:widowControl/>
              <w:adjustRightInd w:val="0"/>
              <w:snapToGrid w:val="0"/>
              <w:spacing w:line="400" w:lineRule="exact"/>
              <w:jc w:val="center"/>
              <w:rPr>
                <w:rFonts w:hint="eastAsia" w:eastAsia="仿宋_GB2312"/>
                <w:b/>
                <w:bCs/>
                <w:color w:val="000000"/>
                <w:sz w:val="24"/>
              </w:rPr>
            </w:pPr>
            <w:r>
              <w:rPr>
                <w:rFonts w:hint="eastAsia" w:eastAsia="仿宋_GB2312" w:cs="仿宋_GB2312"/>
                <w:b/>
                <w:bCs/>
                <w:color w:val="000000"/>
                <w:sz w:val="24"/>
              </w:rPr>
              <w:t>二级指标</w:t>
            </w:r>
          </w:p>
        </w:tc>
        <w:tc>
          <w:tcPr>
            <w:tcW w:w="6589" w:type="dxa"/>
            <w:vAlign w:val="top"/>
          </w:tcPr>
          <w:p>
            <w:pPr>
              <w:widowControl/>
              <w:adjustRightInd w:val="0"/>
              <w:snapToGrid w:val="0"/>
              <w:spacing w:line="400" w:lineRule="exact"/>
              <w:jc w:val="center"/>
              <w:rPr>
                <w:rFonts w:hint="eastAsia" w:eastAsia="仿宋_GB2312"/>
                <w:b/>
                <w:bCs/>
                <w:color w:val="000000"/>
                <w:sz w:val="24"/>
              </w:rPr>
            </w:pPr>
            <w:r>
              <w:rPr>
                <w:rFonts w:hint="eastAsia" w:eastAsia="仿宋_GB2312" w:cs="仿宋_GB2312"/>
                <w:b/>
                <w:bCs/>
                <w:color w:val="000000"/>
                <w:sz w:val="24"/>
              </w:rPr>
              <w:t>指标说明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restart"/>
            <w:vAlign w:val="center"/>
          </w:tcPr>
          <w:p>
            <w:pPr>
              <w:adjustRightInd w:val="0"/>
              <w:snapToGrid w:val="0"/>
              <w:spacing w:line="400" w:lineRule="exact"/>
              <w:jc w:val="center"/>
              <w:rPr>
                <w:rFonts w:hint="eastAsia" w:eastAsia="仿宋_GB2312"/>
                <w:color w:val="000000"/>
                <w:sz w:val="24"/>
              </w:rPr>
            </w:pPr>
            <w:r>
              <w:rPr>
                <w:rFonts w:hint="eastAsia" w:eastAsia="仿宋_GB2312" w:cs="仿宋_GB2312"/>
                <w:color w:val="000000"/>
                <w:sz w:val="24"/>
              </w:rPr>
              <w:t>基础条件（</w:t>
            </w:r>
            <w:r>
              <w:rPr>
                <w:rFonts w:hint="eastAsia" w:eastAsia="仿宋_GB2312"/>
                <w:color w:val="000000"/>
                <w:sz w:val="24"/>
              </w:rPr>
              <w:t>20%</w:t>
            </w:r>
            <w:r>
              <w:rPr>
                <w:rFonts w:hint="eastAsia" w:eastAsia="仿宋_GB2312" w:cs="仿宋_GB2312"/>
                <w:color w:val="000000"/>
                <w:sz w:val="24"/>
              </w:rPr>
              <w:t>）</w:t>
            </w:r>
          </w:p>
        </w:tc>
        <w:tc>
          <w:tcPr>
            <w:tcW w:w="1631" w:type="dxa"/>
            <w:vMerge w:val="restart"/>
            <w:vAlign w:val="center"/>
          </w:tcPr>
          <w:p>
            <w:pPr>
              <w:widowControl/>
              <w:adjustRightInd w:val="0"/>
              <w:snapToGrid w:val="0"/>
              <w:spacing w:line="400" w:lineRule="exact"/>
              <w:jc w:val="center"/>
              <w:rPr>
                <w:rFonts w:hint="eastAsia" w:eastAsia="仿宋_GB2312"/>
                <w:color w:val="000000"/>
                <w:sz w:val="24"/>
              </w:rPr>
            </w:pPr>
            <w:r>
              <w:rPr>
                <w:rFonts w:hint="eastAsia" w:eastAsia="仿宋_GB2312" w:cs="仿宋_GB2312"/>
                <w:color w:val="000000"/>
                <w:sz w:val="24"/>
              </w:rPr>
              <w:t>聚集创新创业者情况</w:t>
            </w: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场地面积和工位数。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vAlign w:val="center"/>
          </w:tcPr>
          <w:p>
            <w:pPr>
              <w:widowControl/>
              <w:adjustRightInd w:val="0"/>
              <w:snapToGrid w:val="0"/>
              <w:spacing w:line="400" w:lineRule="exact"/>
              <w:jc w:val="center"/>
              <w:rPr>
                <w:rFonts w:hint="eastAsia" w:eastAsia="仿宋_GB2312"/>
                <w:color w:val="000000"/>
                <w:sz w:val="24"/>
              </w:rPr>
            </w:pPr>
          </w:p>
        </w:tc>
        <w:tc>
          <w:tcPr>
            <w:tcW w:w="1631" w:type="dxa"/>
            <w:vMerge w:val="continue"/>
            <w:vAlign w:val="center"/>
          </w:tcPr>
          <w:p>
            <w:pPr>
              <w:widowControl/>
              <w:jc w:val="left"/>
              <w:rPr>
                <w:rFonts w:hint="eastAsia" w:eastAsia="仿宋_GB2312"/>
                <w:color w:val="000000"/>
                <w:sz w:val="24"/>
              </w:rPr>
            </w:pP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评价期内吸引入驻的创客、创业团队的数量。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tcBorders>
              <w:bottom w:val="single" w:color="auto" w:sz="4" w:space="0"/>
            </w:tcBorders>
            <w:vAlign w:val="center"/>
          </w:tcPr>
          <w:p>
            <w:pPr>
              <w:widowControl/>
              <w:adjustRightInd w:val="0"/>
              <w:snapToGrid w:val="0"/>
              <w:spacing w:line="400" w:lineRule="exact"/>
              <w:jc w:val="center"/>
              <w:rPr>
                <w:rFonts w:hint="eastAsia" w:eastAsia="仿宋_GB2312"/>
                <w:color w:val="000000"/>
                <w:sz w:val="24"/>
              </w:rPr>
            </w:pPr>
          </w:p>
        </w:tc>
        <w:tc>
          <w:tcPr>
            <w:tcW w:w="1631" w:type="dxa"/>
            <w:vMerge w:val="continue"/>
            <w:tcBorders>
              <w:bottom w:val="single" w:color="auto" w:sz="4" w:space="0"/>
            </w:tcBorders>
            <w:vAlign w:val="center"/>
          </w:tcPr>
          <w:p>
            <w:pPr>
              <w:widowControl/>
              <w:jc w:val="left"/>
              <w:rPr>
                <w:rFonts w:hint="eastAsia" w:eastAsia="仿宋_GB2312"/>
                <w:color w:val="000000"/>
                <w:sz w:val="24"/>
              </w:rPr>
            </w:pP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当年在众创空间注册成立初创企业或新增企业的数量。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restart"/>
            <w:tcBorders>
              <w:top w:val="single" w:color="auto" w:sz="4" w:space="0"/>
            </w:tcBorders>
            <w:vAlign w:val="center"/>
          </w:tcPr>
          <w:p>
            <w:pPr>
              <w:widowControl/>
              <w:adjustRightInd w:val="0"/>
              <w:snapToGrid w:val="0"/>
              <w:spacing w:line="400" w:lineRule="exact"/>
              <w:jc w:val="center"/>
              <w:rPr>
                <w:rFonts w:hint="eastAsia" w:eastAsia="仿宋_GB2312"/>
                <w:color w:val="000000"/>
                <w:sz w:val="24"/>
              </w:rPr>
            </w:pPr>
          </w:p>
          <w:p>
            <w:pPr>
              <w:widowControl/>
              <w:adjustRightInd w:val="0"/>
              <w:snapToGrid w:val="0"/>
              <w:spacing w:line="400" w:lineRule="exact"/>
              <w:jc w:val="center"/>
              <w:rPr>
                <w:rFonts w:hint="eastAsia" w:eastAsia="仿宋_GB2312"/>
                <w:color w:val="000000"/>
                <w:sz w:val="24"/>
              </w:rPr>
            </w:pPr>
            <w:r>
              <w:rPr>
                <w:rFonts w:hint="eastAsia" w:eastAsia="仿宋_GB2312" w:cs="仿宋_GB2312"/>
                <w:color w:val="000000"/>
                <w:sz w:val="24"/>
              </w:rPr>
              <w:t>服务能力</w:t>
            </w:r>
          </w:p>
          <w:p>
            <w:pPr>
              <w:widowControl/>
              <w:adjustRightInd w:val="0"/>
              <w:snapToGrid w:val="0"/>
              <w:spacing w:line="400" w:lineRule="exact"/>
              <w:jc w:val="center"/>
              <w:rPr>
                <w:rFonts w:hint="eastAsia" w:eastAsia="仿宋_GB2312"/>
                <w:color w:val="000000"/>
                <w:sz w:val="24"/>
              </w:rPr>
            </w:pPr>
            <w:r>
              <w:rPr>
                <w:rFonts w:hint="eastAsia" w:eastAsia="仿宋_GB2312" w:cs="仿宋_GB2312"/>
                <w:color w:val="000000"/>
                <w:sz w:val="24"/>
              </w:rPr>
              <w:t>（</w:t>
            </w:r>
            <w:r>
              <w:rPr>
                <w:rFonts w:hint="eastAsia" w:eastAsia="仿宋_GB2312"/>
                <w:color w:val="000000"/>
                <w:sz w:val="24"/>
              </w:rPr>
              <w:t>60%</w:t>
            </w:r>
            <w:r>
              <w:rPr>
                <w:rFonts w:hint="eastAsia" w:eastAsia="仿宋_GB2312" w:cs="仿宋_GB2312"/>
                <w:color w:val="000000"/>
                <w:sz w:val="24"/>
              </w:rPr>
              <w:t>）</w:t>
            </w:r>
          </w:p>
          <w:p>
            <w:pPr>
              <w:widowControl/>
              <w:adjustRightInd w:val="0"/>
              <w:snapToGrid w:val="0"/>
              <w:spacing w:line="400" w:lineRule="exact"/>
              <w:jc w:val="center"/>
              <w:rPr>
                <w:rFonts w:hint="eastAsia" w:eastAsia="仿宋_GB2312"/>
                <w:color w:val="000000"/>
                <w:sz w:val="24"/>
              </w:rPr>
            </w:pPr>
          </w:p>
          <w:p>
            <w:pPr>
              <w:adjustRightInd w:val="0"/>
              <w:snapToGrid w:val="0"/>
              <w:spacing w:line="400" w:lineRule="exact"/>
              <w:ind w:left="29" w:leftChars="14" w:firstLine="31" w:firstLineChars="13"/>
              <w:jc w:val="center"/>
              <w:rPr>
                <w:rFonts w:hint="eastAsia" w:eastAsia="仿宋_GB2312"/>
                <w:color w:val="000000"/>
                <w:sz w:val="24"/>
              </w:rPr>
            </w:pPr>
          </w:p>
        </w:tc>
        <w:tc>
          <w:tcPr>
            <w:tcW w:w="1631" w:type="dxa"/>
            <w:vMerge w:val="restart"/>
            <w:tcBorders>
              <w:top w:val="single" w:color="auto" w:sz="4" w:space="0"/>
            </w:tcBorders>
            <w:vAlign w:val="center"/>
          </w:tcPr>
          <w:p>
            <w:pPr>
              <w:widowControl/>
              <w:adjustRightInd w:val="0"/>
              <w:snapToGrid w:val="0"/>
              <w:spacing w:line="400" w:lineRule="exact"/>
              <w:jc w:val="center"/>
              <w:rPr>
                <w:rFonts w:hint="eastAsia" w:eastAsia="仿宋_GB2312"/>
                <w:color w:val="000000"/>
                <w:sz w:val="24"/>
              </w:rPr>
            </w:pPr>
            <w:r>
              <w:rPr>
                <w:rFonts w:hint="eastAsia" w:eastAsia="仿宋_GB2312" w:cs="仿宋_GB2312"/>
                <w:color w:val="000000"/>
                <w:sz w:val="24"/>
              </w:rPr>
              <w:t>提供创新服务情况</w:t>
            </w:r>
          </w:p>
        </w:tc>
        <w:tc>
          <w:tcPr>
            <w:tcW w:w="6589" w:type="dxa"/>
            <w:tcBorders>
              <w:right w:val="single" w:color="auto" w:sz="4" w:space="0"/>
            </w:tcBorders>
            <w:vAlign w:val="center"/>
          </w:tcPr>
          <w:p>
            <w:pPr>
              <w:spacing w:line="400" w:lineRule="exact"/>
              <w:rPr>
                <w:rFonts w:hint="eastAsia" w:eastAsia="仿宋_GB2312"/>
                <w:sz w:val="24"/>
              </w:rPr>
            </w:pPr>
            <w:r>
              <w:rPr>
                <w:rFonts w:hint="eastAsia" w:eastAsia="仿宋_GB2312" w:cs="仿宋_GB2312"/>
                <w:color w:val="000000"/>
                <w:sz w:val="24"/>
              </w:rPr>
              <w:t>签约并服务于创业者的各类创业服务机构（科研院所、大专院校、科技服务机构、专业代理机构、投融资机构等）的数量。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vAlign w:val="center"/>
          </w:tcPr>
          <w:p>
            <w:pPr>
              <w:adjustRightInd w:val="0"/>
              <w:snapToGrid w:val="0"/>
              <w:spacing w:line="400" w:lineRule="exact"/>
              <w:ind w:left="29" w:leftChars="14" w:firstLine="31" w:firstLineChars="13"/>
              <w:jc w:val="center"/>
              <w:rPr>
                <w:rFonts w:hint="eastAsia" w:eastAsia="仿宋_GB2312"/>
                <w:color w:val="000000"/>
                <w:sz w:val="24"/>
              </w:rPr>
            </w:pPr>
          </w:p>
        </w:tc>
        <w:tc>
          <w:tcPr>
            <w:tcW w:w="1631" w:type="dxa"/>
            <w:vMerge w:val="continue"/>
            <w:tcBorders>
              <w:top w:val="single" w:color="auto" w:sz="4" w:space="0"/>
            </w:tcBorders>
            <w:vAlign w:val="center"/>
          </w:tcPr>
          <w:p>
            <w:pPr>
              <w:widowControl/>
              <w:jc w:val="left"/>
              <w:rPr>
                <w:rFonts w:hint="eastAsia" w:eastAsia="仿宋_GB2312"/>
                <w:color w:val="000000"/>
                <w:sz w:val="24"/>
              </w:rPr>
            </w:pP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评价期内为众创空间内创客、创业团队和初创企业提供检验检测、研发设计、小试中试、技术咨询等技术创新服务和推介科技成果、撮合成果对接并成功实现成果转化和技术转移的案例数量。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vAlign w:val="center"/>
          </w:tcPr>
          <w:p>
            <w:pPr>
              <w:adjustRightInd w:val="0"/>
              <w:snapToGrid w:val="0"/>
              <w:spacing w:line="400" w:lineRule="exact"/>
              <w:ind w:left="29" w:leftChars="14" w:firstLine="31" w:firstLineChars="13"/>
              <w:jc w:val="center"/>
              <w:rPr>
                <w:rFonts w:hint="eastAsia" w:eastAsia="仿宋_GB2312"/>
                <w:color w:val="000000"/>
                <w:sz w:val="24"/>
              </w:rPr>
            </w:pPr>
          </w:p>
        </w:tc>
        <w:tc>
          <w:tcPr>
            <w:tcW w:w="1631" w:type="dxa"/>
            <w:vMerge w:val="continue"/>
            <w:tcBorders>
              <w:top w:val="single" w:color="auto" w:sz="4" w:space="0"/>
            </w:tcBorders>
            <w:vAlign w:val="center"/>
          </w:tcPr>
          <w:p>
            <w:pPr>
              <w:widowControl/>
              <w:jc w:val="left"/>
              <w:rPr>
                <w:rFonts w:hint="eastAsia" w:eastAsia="仿宋_GB2312"/>
                <w:color w:val="000000"/>
                <w:sz w:val="24"/>
              </w:rPr>
            </w:pPr>
          </w:p>
        </w:tc>
        <w:tc>
          <w:tcPr>
            <w:tcW w:w="6589" w:type="dxa"/>
            <w:tcBorders>
              <w:right w:val="single" w:color="auto" w:sz="4" w:space="0"/>
            </w:tcBorders>
            <w:vAlign w:val="center"/>
          </w:tcPr>
          <w:p>
            <w:pPr>
              <w:spacing w:line="400" w:lineRule="exact"/>
              <w:rPr>
                <w:rFonts w:hint="eastAsia" w:eastAsia="仿宋_GB2312" w:cs="仿宋_GB2312"/>
                <w:color w:val="000000"/>
                <w:sz w:val="24"/>
              </w:rPr>
            </w:pPr>
            <w:r>
              <w:rPr>
                <w:rFonts w:hint="eastAsia" w:eastAsia="仿宋_GB2312" w:cs="仿宋_GB2312"/>
                <w:color w:val="000000"/>
                <w:sz w:val="24"/>
              </w:rPr>
              <w:t>评价期内与孵化器、园区对接、与龙头骨干企业、科研院所对接，服务创客的情况。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vAlign w:val="center"/>
          </w:tcPr>
          <w:p>
            <w:pPr>
              <w:adjustRightInd w:val="0"/>
              <w:snapToGrid w:val="0"/>
              <w:spacing w:line="400" w:lineRule="exact"/>
              <w:ind w:left="29" w:leftChars="14" w:firstLine="31" w:firstLineChars="13"/>
              <w:jc w:val="center"/>
              <w:rPr>
                <w:rFonts w:hint="eastAsia" w:eastAsia="仿宋_GB2312"/>
                <w:color w:val="000000"/>
                <w:sz w:val="24"/>
              </w:rPr>
            </w:pPr>
          </w:p>
        </w:tc>
        <w:tc>
          <w:tcPr>
            <w:tcW w:w="1631" w:type="dxa"/>
            <w:vMerge w:val="continue"/>
            <w:tcBorders>
              <w:top w:val="single" w:color="auto" w:sz="4" w:space="0"/>
            </w:tcBorders>
            <w:vAlign w:val="center"/>
          </w:tcPr>
          <w:p>
            <w:pPr>
              <w:widowControl/>
              <w:jc w:val="left"/>
              <w:rPr>
                <w:rFonts w:hint="eastAsia" w:eastAsia="仿宋_GB2312"/>
                <w:color w:val="000000"/>
                <w:sz w:val="24"/>
              </w:rPr>
            </w:pP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评价期内众创空间入驻的创客、创业团队和初创企业申请和获得各类知识产权数量。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vAlign w:val="center"/>
          </w:tcPr>
          <w:p>
            <w:pPr>
              <w:adjustRightInd w:val="0"/>
              <w:snapToGrid w:val="0"/>
              <w:spacing w:line="400" w:lineRule="exact"/>
              <w:ind w:left="29" w:leftChars="14" w:firstLine="31" w:firstLineChars="13"/>
              <w:jc w:val="center"/>
              <w:rPr>
                <w:rFonts w:hint="eastAsia" w:eastAsia="仿宋_GB2312"/>
                <w:color w:val="000000"/>
                <w:sz w:val="24"/>
              </w:rPr>
            </w:pPr>
          </w:p>
        </w:tc>
        <w:tc>
          <w:tcPr>
            <w:tcW w:w="1631" w:type="dxa"/>
            <w:vMerge w:val="continue"/>
            <w:tcBorders>
              <w:top w:val="single" w:color="auto" w:sz="4" w:space="0"/>
            </w:tcBorders>
            <w:vAlign w:val="center"/>
          </w:tcPr>
          <w:p>
            <w:pPr>
              <w:widowControl/>
              <w:jc w:val="left"/>
              <w:rPr>
                <w:rFonts w:hint="eastAsia" w:eastAsia="仿宋_GB2312"/>
                <w:color w:val="000000"/>
                <w:sz w:val="24"/>
              </w:rPr>
            </w:pP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评价期内众创空间及入驻的创客、创业团队和初创企业获得各级政府部门支持的项目和荣誉的数量。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vAlign w:val="center"/>
          </w:tcPr>
          <w:p>
            <w:pPr>
              <w:adjustRightInd w:val="0"/>
              <w:snapToGrid w:val="0"/>
              <w:spacing w:line="400" w:lineRule="exact"/>
              <w:ind w:left="29" w:leftChars="14" w:firstLine="31" w:firstLineChars="13"/>
              <w:jc w:val="center"/>
              <w:rPr>
                <w:rFonts w:hint="eastAsia" w:eastAsia="仿宋_GB2312"/>
                <w:color w:val="000000"/>
                <w:sz w:val="24"/>
              </w:rPr>
            </w:pPr>
          </w:p>
        </w:tc>
        <w:tc>
          <w:tcPr>
            <w:tcW w:w="1631" w:type="dxa"/>
            <w:vMerge w:val="restart"/>
            <w:vAlign w:val="center"/>
          </w:tcPr>
          <w:p>
            <w:pPr>
              <w:adjustRightInd w:val="0"/>
              <w:snapToGrid w:val="0"/>
              <w:spacing w:line="400" w:lineRule="exact"/>
              <w:ind w:left="29" w:leftChars="14" w:firstLine="31" w:firstLineChars="13"/>
              <w:jc w:val="center"/>
              <w:rPr>
                <w:rFonts w:hint="eastAsia" w:eastAsia="仿宋_GB2312"/>
                <w:color w:val="000000"/>
                <w:sz w:val="24"/>
              </w:rPr>
            </w:pPr>
            <w:r>
              <w:rPr>
                <w:rFonts w:hint="eastAsia" w:eastAsia="仿宋_GB2312" w:cs="仿宋_GB2312"/>
                <w:color w:val="000000"/>
                <w:sz w:val="24"/>
              </w:rPr>
              <w:t>提供创业投融资服务情况</w:t>
            </w: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评价期内众创空间种子基金使用案例数量。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vAlign w:val="center"/>
          </w:tcPr>
          <w:p>
            <w:pPr>
              <w:adjustRightInd w:val="0"/>
              <w:snapToGrid w:val="0"/>
              <w:spacing w:line="400" w:lineRule="exact"/>
              <w:jc w:val="center"/>
              <w:rPr>
                <w:rFonts w:hint="eastAsia" w:eastAsia="仿宋_GB2312"/>
                <w:color w:val="000000"/>
                <w:sz w:val="24"/>
              </w:rPr>
            </w:pPr>
          </w:p>
        </w:tc>
        <w:tc>
          <w:tcPr>
            <w:tcW w:w="1631" w:type="dxa"/>
            <w:vMerge w:val="continue"/>
            <w:vAlign w:val="center"/>
          </w:tcPr>
          <w:p>
            <w:pPr>
              <w:widowControl/>
              <w:jc w:val="left"/>
              <w:rPr>
                <w:rFonts w:hint="eastAsia" w:eastAsia="仿宋_GB2312"/>
                <w:color w:val="000000"/>
                <w:sz w:val="24"/>
              </w:rPr>
            </w:pP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入驻团队（企业）当年获得投融资企业数量。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vAlign w:val="center"/>
          </w:tcPr>
          <w:p>
            <w:pPr>
              <w:widowControl/>
              <w:adjustRightInd w:val="0"/>
              <w:snapToGrid w:val="0"/>
              <w:spacing w:line="400" w:lineRule="exact"/>
              <w:jc w:val="center"/>
              <w:rPr>
                <w:rFonts w:hint="eastAsia" w:eastAsia="仿宋_GB2312"/>
                <w:color w:val="000000"/>
                <w:sz w:val="24"/>
              </w:rPr>
            </w:pPr>
          </w:p>
        </w:tc>
        <w:tc>
          <w:tcPr>
            <w:tcW w:w="1631" w:type="dxa"/>
            <w:vMerge w:val="restart"/>
            <w:vAlign w:val="center"/>
          </w:tcPr>
          <w:p>
            <w:pPr>
              <w:widowControl/>
              <w:adjustRightInd w:val="0"/>
              <w:snapToGrid w:val="0"/>
              <w:spacing w:line="400" w:lineRule="exact"/>
              <w:jc w:val="left"/>
              <w:rPr>
                <w:rFonts w:hint="eastAsia" w:eastAsia="仿宋_GB2312"/>
                <w:color w:val="000000"/>
                <w:sz w:val="24"/>
              </w:rPr>
            </w:pPr>
            <w:r>
              <w:rPr>
                <w:rFonts w:hint="eastAsia" w:eastAsia="仿宋_GB2312" w:cs="仿宋_GB2312"/>
                <w:color w:val="000000"/>
                <w:sz w:val="24"/>
              </w:rPr>
              <w:t>开展创业教育培训和创新创业活动情况</w:t>
            </w: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评价期内众创空间组织开展各类公益讲堂、投资路演、创业论坛、创业训练营等活动的数量。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vAlign w:val="center"/>
          </w:tcPr>
          <w:p>
            <w:pPr>
              <w:widowControl/>
              <w:jc w:val="left"/>
              <w:rPr>
                <w:rFonts w:hint="eastAsia" w:eastAsia="仿宋_GB2312"/>
                <w:color w:val="000000"/>
                <w:sz w:val="24"/>
              </w:rPr>
            </w:pPr>
          </w:p>
        </w:tc>
        <w:tc>
          <w:tcPr>
            <w:tcW w:w="1631" w:type="dxa"/>
            <w:vMerge w:val="continue"/>
            <w:vAlign w:val="center"/>
          </w:tcPr>
          <w:p>
            <w:pPr>
              <w:widowControl/>
              <w:jc w:val="left"/>
              <w:rPr>
                <w:rFonts w:hint="eastAsia" w:eastAsia="仿宋_GB2312"/>
                <w:color w:val="000000"/>
                <w:sz w:val="24"/>
              </w:rPr>
            </w:pP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评价期内众创空间聘任的创业导师开展创业辅导服务的次数。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vAlign w:val="center"/>
          </w:tcPr>
          <w:p>
            <w:pPr>
              <w:widowControl/>
              <w:jc w:val="left"/>
              <w:rPr>
                <w:rFonts w:hint="eastAsia" w:eastAsia="仿宋_GB2312"/>
                <w:color w:val="000000"/>
                <w:sz w:val="24"/>
              </w:rPr>
            </w:pPr>
          </w:p>
        </w:tc>
        <w:tc>
          <w:tcPr>
            <w:tcW w:w="1631" w:type="dxa"/>
            <w:vMerge w:val="continue"/>
            <w:vAlign w:val="center"/>
          </w:tcPr>
          <w:p>
            <w:pPr>
              <w:widowControl/>
              <w:jc w:val="left"/>
              <w:rPr>
                <w:rFonts w:hint="eastAsia" w:eastAsia="仿宋_GB2312"/>
                <w:color w:val="000000"/>
                <w:sz w:val="24"/>
              </w:rPr>
            </w:pP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评价期内众创空间推荐参加创新创业大赛的项目数量和组织举办各类创新创业赛事的数量。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restart"/>
            <w:vAlign w:val="center"/>
          </w:tcPr>
          <w:p>
            <w:pPr>
              <w:widowControl/>
              <w:adjustRightInd w:val="0"/>
              <w:snapToGrid w:val="0"/>
              <w:spacing w:line="400" w:lineRule="exact"/>
              <w:jc w:val="center"/>
              <w:rPr>
                <w:rFonts w:hint="eastAsia" w:eastAsia="仿宋_GB2312"/>
                <w:color w:val="000000"/>
                <w:sz w:val="24"/>
              </w:rPr>
            </w:pPr>
            <w:r>
              <w:rPr>
                <w:rFonts w:hint="eastAsia" w:eastAsia="仿宋_GB2312" w:cs="仿宋_GB2312"/>
                <w:color w:val="000000"/>
                <w:sz w:val="24"/>
              </w:rPr>
              <w:t>服务成效（</w:t>
            </w:r>
            <w:r>
              <w:rPr>
                <w:rFonts w:hint="eastAsia" w:eastAsia="仿宋_GB2312"/>
                <w:color w:val="000000"/>
                <w:sz w:val="24"/>
              </w:rPr>
              <w:t>20%</w:t>
            </w:r>
            <w:r>
              <w:rPr>
                <w:rFonts w:hint="eastAsia" w:eastAsia="仿宋_GB2312" w:cs="仿宋_GB2312"/>
                <w:color w:val="000000"/>
                <w:sz w:val="24"/>
              </w:rPr>
              <w:t>）</w:t>
            </w:r>
          </w:p>
        </w:tc>
        <w:tc>
          <w:tcPr>
            <w:tcW w:w="1631" w:type="dxa"/>
            <w:vMerge w:val="restart"/>
            <w:vAlign w:val="center"/>
          </w:tcPr>
          <w:p>
            <w:pPr>
              <w:widowControl/>
              <w:adjustRightInd w:val="0"/>
              <w:snapToGrid w:val="0"/>
              <w:spacing w:line="400" w:lineRule="exact"/>
              <w:jc w:val="left"/>
              <w:rPr>
                <w:rFonts w:hint="eastAsia" w:eastAsia="仿宋_GB2312"/>
                <w:color w:val="000000"/>
                <w:sz w:val="24"/>
              </w:rPr>
            </w:pPr>
            <w:r>
              <w:rPr>
                <w:rFonts w:hint="eastAsia" w:eastAsia="仿宋_GB2312" w:cs="仿宋_GB2312"/>
                <w:color w:val="000000"/>
                <w:sz w:val="24"/>
              </w:rPr>
              <w:t>强化可持续发展能力建设情况</w:t>
            </w: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评价期内众创空间内初创企业实现就业人员的数量。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88" w:type="dxa"/>
            <w:vMerge w:val="continue"/>
            <w:vAlign w:val="center"/>
          </w:tcPr>
          <w:p>
            <w:pPr>
              <w:adjustRightInd w:val="0"/>
              <w:snapToGrid w:val="0"/>
              <w:spacing w:line="400" w:lineRule="exact"/>
              <w:ind w:left="29" w:leftChars="14" w:firstLine="31" w:firstLineChars="13"/>
              <w:jc w:val="center"/>
              <w:rPr>
                <w:rFonts w:hint="eastAsia" w:eastAsia="仿宋_GB2312"/>
                <w:color w:val="000000"/>
                <w:sz w:val="24"/>
              </w:rPr>
            </w:pPr>
          </w:p>
        </w:tc>
        <w:tc>
          <w:tcPr>
            <w:tcW w:w="1631" w:type="dxa"/>
            <w:vMerge w:val="continue"/>
            <w:vAlign w:val="center"/>
          </w:tcPr>
          <w:p>
            <w:pPr>
              <w:widowControl/>
              <w:jc w:val="left"/>
              <w:rPr>
                <w:rFonts w:hint="eastAsia" w:eastAsia="仿宋_GB2312"/>
                <w:color w:val="000000"/>
                <w:sz w:val="24"/>
              </w:rPr>
            </w:pPr>
          </w:p>
        </w:tc>
        <w:tc>
          <w:tcPr>
            <w:tcW w:w="6589" w:type="dxa"/>
            <w:tcBorders>
              <w:right w:val="single" w:color="auto" w:sz="4" w:space="0"/>
            </w:tcBorders>
            <w:vAlign w:val="center"/>
          </w:tcPr>
          <w:p>
            <w:pPr>
              <w:spacing w:line="400" w:lineRule="exact"/>
              <w:rPr>
                <w:rFonts w:hint="eastAsia" w:eastAsia="仿宋_GB2312"/>
                <w:color w:val="000000"/>
                <w:sz w:val="24"/>
              </w:rPr>
            </w:pPr>
            <w:r>
              <w:rPr>
                <w:rFonts w:hint="eastAsia" w:eastAsia="仿宋_GB2312" w:cs="仿宋_GB2312"/>
                <w:color w:val="000000"/>
                <w:sz w:val="24"/>
              </w:rPr>
              <w:t>评价期内从众创空间毕业企业（或具备毕业条件企业）的数量。</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8A9"/>
    <w:rsid w:val="00E61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2018-03-29T08:56:00Z</dcterms:created>
  <dc:creator>新闻中心</dc:creator>
  <cp:lastModifiedBy>新闻中心</cp:lastModifiedBy>
  <dcterms:modified xsi:type="dcterms:W3CDTF">2018-03-29T09:05:53Z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