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snapToGrid w:val="0"/>
        <w:spacing w:line="520" w:lineRule="exact"/>
        <w:jc w:val="center"/>
        <w:rPr>
          <w:rFonts w:hint="eastAsia" w:ascii="方正小标宋简体" w:hAnsi="方正小标宋_GBK" w:eastAsia="方正小标宋简体"/>
          <w:color w:val="000000"/>
          <w:sz w:val="40"/>
          <w:szCs w:val="40"/>
        </w:rPr>
      </w:pPr>
      <w:r>
        <w:rPr>
          <w:rFonts w:hint="eastAsia" w:ascii="方正小标宋简体" w:hAnsi="方正小标宋_GBK" w:eastAsia="方正小标宋简体"/>
          <w:color w:val="000000"/>
          <w:sz w:val="40"/>
          <w:szCs w:val="40"/>
        </w:rPr>
        <w:t>湖南省重点实验室整改类复评结果</w:t>
      </w:r>
    </w:p>
    <w:p>
      <w:pPr>
        <w:pStyle w:val="2"/>
        <w:snapToGrid w:val="0"/>
        <w:spacing w:line="240" w:lineRule="exact"/>
        <w:jc w:val="center"/>
        <w:rPr>
          <w:rFonts w:hint="eastAsia" w:ascii="方正小标宋简体" w:hAnsi="方正小标宋_GBK" w:eastAsia="方正小标宋简体"/>
          <w:color w:val="000000"/>
          <w:sz w:val="40"/>
          <w:szCs w:val="40"/>
        </w:rPr>
      </w:pPr>
    </w:p>
    <w:tbl>
      <w:tblPr>
        <w:tblStyle w:val="4"/>
        <w:tblW w:w="9600" w:type="dxa"/>
        <w:tblInd w:w="-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40"/>
        <w:gridCol w:w="2355"/>
        <w:gridCol w:w="13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shd w:val="clear" w:color="auto" w:fill="FFFFFF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参评重点实验室名称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依托单位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复评结果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工程结构损伤诊断湖南省重点实验室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风工程与桥梁工程湖南省重点实验室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心血管研究湖南省重点实验室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现代优生技术湖南省重点实验室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湖南省计划生育研究所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物流信息与仿真技术湖南省重点实验室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湖南大学、湖南白沙物流有限公司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生物医用纳米材料与器件湖南省重点实验室（原绿色包装与生物纳米技术湖南省重点实验室）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湖南工业大学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spacing w:line="640" w:lineRule="exact"/>
        <w:ind w:left="4" w:leftChars="2"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spacing w:line="400" w:lineRule="exact"/>
        <w:ind w:right="641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400" w:lineRule="exact"/>
        <w:ind w:right="641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400" w:lineRule="exact"/>
        <w:ind w:right="641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400" w:lineRule="exact"/>
        <w:ind w:right="641"/>
        <w:rPr>
          <w:rFonts w:hint="eastAsia" w:eastAsia="方正仿宋_GBK"/>
          <w:color w:val="000000"/>
          <w:sz w:val="32"/>
          <w:szCs w:val="32"/>
        </w:rPr>
      </w:pPr>
      <w:bookmarkStart w:id="0" w:name="_GoBack"/>
      <w:bookmarkEnd w:id="0"/>
    </w:p>
    <w:p>
      <w:pPr>
        <w:spacing w:line="160" w:lineRule="exact"/>
        <w:rPr>
          <w:rFonts w:eastAsia="仿宋_GB2312"/>
          <w:spacing w:val="-40"/>
          <w:szCs w:val="21"/>
        </w:rPr>
      </w:pPr>
      <w:r>
        <w:rPr>
          <w:rFonts w:eastAsia="仿宋_GB2312"/>
          <w:spacing w:val="-40"/>
          <w:sz w:val="28"/>
          <w:szCs w:val="28"/>
        </w:rPr>
        <w:t>————————————————————————————————————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方正仿宋_GBK"/>
          <w:sz w:val="28"/>
          <w:szCs w:val="28"/>
        </w:rPr>
        <w:t>湖南省科学技术厅办公室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201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26</w:t>
      </w:r>
      <w:r>
        <w:rPr>
          <w:rFonts w:eastAsia="方正仿宋_GBK"/>
          <w:sz w:val="28"/>
          <w:szCs w:val="28"/>
        </w:rPr>
        <w:t>日印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0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A11CA"/>
    <w:rsid w:val="455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2018-02-26T09:34:00Z</dcterms:created>
  <dc:creator>新闻中心</dc:creator>
  <cp:lastModifiedBy>新闻中心</cp:lastModifiedBy>
  <dcterms:modified xsi:type="dcterms:W3CDTF">2018-02-26T09:34:43Z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