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Times New Roman"/>
          <w:b/>
          <w:sz w:val="44"/>
          <w:szCs w:val="44"/>
        </w:rPr>
      </w:pPr>
      <w:bookmarkStart w:id="0" w:name="_Toc1046"/>
      <w:bookmarkStart w:id="1" w:name="_Toc7318"/>
      <w:bookmarkStart w:id="2" w:name="_Toc29060"/>
      <w:r>
        <w:rPr>
          <w:rFonts w:hint="eastAsia" w:ascii="华文中宋" w:hAnsi="华文中宋" w:eastAsia="华文中宋" w:cs="Times New Roman"/>
          <w:b/>
          <w:sz w:val="44"/>
          <w:szCs w:val="44"/>
        </w:rPr>
        <w:t>中国人类遗传资源材料出境</w:t>
      </w:r>
      <w:bookmarkEnd w:id="0"/>
      <w:bookmarkEnd w:id="1"/>
      <w:bookmarkEnd w:id="2"/>
      <w:r>
        <w:rPr>
          <w:rFonts w:hint="eastAsia" w:ascii="华文中宋" w:hAnsi="华文中宋" w:eastAsia="华文中宋" w:cs="Times New Roman"/>
          <w:b/>
          <w:sz w:val="44"/>
          <w:szCs w:val="44"/>
        </w:rPr>
        <w:t>行政许可</w:t>
      </w:r>
      <w:bookmarkStart w:id="3" w:name="_Toc31601"/>
      <w:bookmarkStart w:id="4" w:name="_Toc27948"/>
      <w:bookmarkStart w:id="5" w:name="_Toc2331"/>
    </w:p>
    <w:p>
      <w:pPr>
        <w:spacing w:line="360" w:lineRule="auto"/>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事项服务指南</w:t>
      </w:r>
      <w:bookmarkEnd w:id="3"/>
      <w:bookmarkEnd w:id="4"/>
      <w:bookmarkEnd w:id="5"/>
    </w:p>
    <w:p>
      <w:pPr>
        <w:spacing w:line="360" w:lineRule="auto"/>
        <w:rPr>
          <w:rFonts w:ascii="Times New Roman" w:hAnsi="Times New Roman" w:cs="Times New Roman"/>
        </w:rPr>
      </w:pP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一、适用范围</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本许可适用于对利用我国人类遗传资源开展国际科学研究合作，或者因其他特殊情况确需将我国人类遗传资源材料运送、邮寄、携带出境的规范和管理。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为临床诊疗、采供血服务、查处违法犯罪、兴奋剂检测和殡葬等活动需要，对外提供我国人类遗传资源材料的，依照相关法律、行政法规规定执行，不在本许可的适用范围内。</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二、事项信息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（一）事项名称：中国人类遗传资源材料出境审批。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（二）审批类别：行政许可。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（三）事项编号：</w:t>
      </w:r>
      <w:r>
        <w:rPr>
          <w:rFonts w:ascii="Times New Roman" w:hAnsi="Times New Roman" w:eastAsia="仿宋_GB2312" w:cs="Times New Roman"/>
          <w:sz w:val="32"/>
          <w:szCs w:val="32"/>
        </w:rPr>
        <w:t>000106104000</w:t>
      </w:r>
      <w:r>
        <w:rPr>
          <w:rFonts w:hint="eastAsia" w:ascii="Times New Roman" w:hAnsi="Times New Roman" w:eastAsia="仿宋_GB2312" w:cs="Times New Roman"/>
          <w:sz w:val="32"/>
          <w:szCs w:val="32"/>
        </w:rPr>
        <w:t>。</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《中华人民共和国人类遗传资源管理条例》国令第</w:t>
      </w:r>
      <w:r>
        <w:rPr>
          <w:rFonts w:ascii="Times New Roman" w:hAnsi="Times New Roman" w:eastAsia="仿宋_GB2312" w:cs="Times New Roman"/>
          <w:sz w:val="32"/>
          <w:szCs w:val="32"/>
        </w:rPr>
        <w:t>717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《人类遗传资源管理条例实施细则》科学技术部令第</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《中华人民共和国行政许可法》主席令第</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2003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四、受理机构</w:t>
      </w:r>
    </w:p>
    <w:p>
      <w:pPr>
        <w:pStyle w:val="12"/>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五、决定机构</w:t>
      </w:r>
    </w:p>
    <w:p>
      <w:pPr>
        <w:pStyle w:val="12"/>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六、数量限制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无数量限制</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七、办事要求</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具有法人资格的中方单位。</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（二）审批条件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申请将中国人类遗传资源材料运送、邮寄、携带出境应具备或符合如下条件：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）对我国公众健康、国家安全和社会公共利益没有危害；</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）具有法人资格；</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）有明确的境外合作方和合理的出境用途；</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）人类遗传资源材料采集合法或者来自合法的保藏单位；</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）通过伦理审查；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禁止性要求：申请将中国人类遗传资源材料运送、邮寄、携带出境，不符合上述条件的，不予批准。</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（三）办理事项类型</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新建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我国人类遗传资源开展国际科学研究合作，需要将我国人类遗传资源材料运送、邮寄、携带出境的，可以单独提出申请，也可以在开展国际合作科学研究申请中列明出境计划一并提出申请，由科技部合并审批。</w:t>
      </w:r>
    </w:p>
    <w:p>
      <w:pPr>
        <w:pStyle w:val="12"/>
        <w:widowControl/>
        <w:spacing w:line="360" w:lineRule="auto"/>
        <w:ind w:left="600"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将我国人类遗传资源材料运送、邮寄、携带出境的，凭</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人类遗传资源材料出境证明办理海关手续。</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延续</w:t>
      </w:r>
    </w:p>
    <w:p>
      <w:pPr>
        <w:spacing w:line="360" w:lineRule="auto"/>
        <w:ind w:firstLine="64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撤销</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有下列情形之一的，科技部根据利害关系人请求或者依据职权，可以撤销人类遗传资源行政许可：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）滥用职权、玩忽职守作出准予行政许可决定的</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）超越法定职权作出准予行政许可决定的</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）违反法定程序作出准予行政许可决定的</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）对不具备申请资格或者不符合法定条件的申请人准予行政许可的</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）依法可以撤销行政许可的其他情形。</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被许可人以欺骗、贿赂等不正当手段取得行政许可的，科技部应当予以撤销。</w:t>
      </w:r>
    </w:p>
    <w:p>
      <w:pPr>
        <w:numPr>
          <w:ilvl w:val="255"/>
          <w:numId w:val="0"/>
        </w:numPr>
        <w:ind w:firstLine="640" w:firstLineChars="200"/>
        <w:rPr>
          <w:rFonts w:ascii="Times New Roman" w:hAnsi="Times New Roman" w:cs="Times New Roman"/>
          <w:bCs/>
          <w:sz w:val="30"/>
          <w:szCs w:val="30"/>
        </w:rPr>
      </w:pPr>
      <w:r>
        <w:rPr>
          <w:rFonts w:hint="eastAsia"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（四）办理流程</w:t>
      </w:r>
    </w:p>
    <w:p>
      <w:pPr>
        <w:widowControl/>
        <w:ind w:firstLine="640"/>
        <w:jc w:val="left"/>
        <w:rPr>
          <w:rFonts w:ascii="Times New Roman" w:hAnsi="Times New Roman" w:cs="Times New Roman"/>
          <w:bCs/>
          <w:sz w:val="32"/>
          <w:szCs w:val="30"/>
        </w:rPr>
      </w:pPr>
      <w:r>
        <w:drawing>
          <wp:inline distT="0" distB="0" distL="0" distR="0">
            <wp:extent cx="4988560" cy="4448175"/>
            <wp:effectExtent l="0" t="0" r="2540" b="9525"/>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988560" cy="4448175"/>
                    </a:xfrm>
                    <a:prstGeom prst="rect">
                      <a:avLst/>
                    </a:prstGeom>
                    <a:noFill/>
                  </pic:spPr>
                </pic:pic>
              </a:graphicData>
            </a:graphic>
          </wp:inline>
        </w:drawing>
      </w:r>
    </w:p>
    <w:p>
      <w:pPr>
        <w:spacing w:line="360" w:lineRule="auto"/>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注：行政许可决定作出前，申请人书面撤回申请的，科技部终止对行政许可申请的审查。</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八、在线申请材料</w:t>
      </w:r>
    </w:p>
    <w:tbl>
      <w:tblPr>
        <w:tblStyle w:val="8"/>
        <w:tblW w:w="9157"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2268"/>
        <w:gridCol w:w="6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83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26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6051"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83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6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申请书</w:t>
            </w:r>
          </w:p>
        </w:tc>
        <w:tc>
          <w:tcPr>
            <w:tcW w:w="6051"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3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6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6051" w:type="dxa"/>
            <w:noWrap/>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法人资格材料如企业法人营业执照或事业单位法人证书或民办非企业单位登记证书等材料</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83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6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w:t>
            </w:r>
          </w:p>
        </w:tc>
        <w:tc>
          <w:tcPr>
            <w:tcW w:w="6051" w:type="dxa"/>
            <w:noWrap/>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83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268" w:type="dxa"/>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研究方案</w:t>
            </w:r>
          </w:p>
        </w:tc>
        <w:tc>
          <w:tcPr>
            <w:tcW w:w="6051" w:type="dxa"/>
            <w:noWrap/>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研究方案应包含样本处置全流程情况</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83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26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知情同意书</w:t>
            </w:r>
          </w:p>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（签字版）</w:t>
            </w:r>
          </w:p>
        </w:tc>
        <w:tc>
          <w:tcPr>
            <w:tcW w:w="6051" w:type="dxa"/>
            <w:shd w:val="clear" w:color="auto" w:fill="auto"/>
            <w:noWrap/>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上传签字版知情同意书（知情同意书应明确告知该样本用于出境），上传份数应与出境材料的例数保持一致</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83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26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剩余人类遗传资源材料处理方式协议</w:t>
            </w:r>
          </w:p>
        </w:tc>
        <w:tc>
          <w:tcPr>
            <w:tcW w:w="6051"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如涉及，请提供</w:t>
            </w:r>
            <w:r>
              <w:rPr>
                <w:rFonts w:hint="eastAsia" w:ascii="Times New Roman" w:hAnsi="Times New Roman" w:eastAsia="仿宋_GB2312" w:cs="Times New Roman"/>
                <w:sz w:val="24"/>
                <w:szCs w:val="24"/>
              </w:rPr>
              <w:t>签字盖章的协议</w:t>
            </w:r>
          </w:p>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83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6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拟出境人类遗传资源材料合法来源证明材料</w:t>
            </w:r>
          </w:p>
        </w:tc>
        <w:tc>
          <w:tcPr>
            <w:tcW w:w="6051"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如涉及，请提供</w:t>
            </w:r>
          </w:p>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83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268"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6051" w:type="dxa"/>
            <w:shd w:val="clear" w:color="auto" w:fill="auto"/>
            <w:noWrap/>
            <w:vAlign w:val="center"/>
          </w:tcPr>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如涉及，请提供</w:t>
            </w:r>
          </w:p>
          <w:p>
            <w:pPr>
              <w:pStyle w:val="12"/>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bl>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九、申请接收</w:t>
      </w:r>
    </w:p>
    <w:p>
      <w:pPr>
        <w:pStyle w:val="12"/>
        <w:spacing w:line="360" w:lineRule="auto"/>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电子申请材料通过网上平台接收</w:t>
      </w:r>
      <w:bookmarkStart w:id="6" w:name="_GoBack"/>
      <w:bookmarkEnd w:id="6"/>
      <w:r>
        <w:rPr>
          <w:rFonts w:hint="eastAsia" w:ascii="Times New Roman" w:hAnsi="Times New Roman" w:eastAsia="仿宋_GB2312" w:cs="Times New Roman"/>
          <w:sz w:val="32"/>
          <w:szCs w:val="32"/>
        </w:rPr>
        <w:t>。</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科技部委托中国生物技术发展中心组织专家对受理的申请事项进行技术评审，形成专家评审意见，作为作出行政许可决定的参考依据。</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科技部根据评审结果，作出批准或不批准的决定。</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科技部作出的准予行政许可决定，将在科技部网站予以公开。</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（六）送达</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个工作日内通过邮寄或电子送达方式将审批决定书送达申请单位指定的地址或邮箱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网址，同时抄送省级科技行政部门，申请单位可在申报系统查询送达状态。</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中国人类遗传资源材料出境审批决定书。</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科技部在正式受理后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个工作日内作出批准或不予批准的决定。因特殊原因无法在规定期限内作出审批决定的，经科技部负责人批准，可以延长</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本审批事项不收费。</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（一）依据《中华人民共和国行政许可法》《中华人民共和国人类遗传资源管理条例》《人类遗传资源管理条例实施细则》规定，申请人依法享有如下权利：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申请人对审批决定有异议的，可以在收到通知之日起</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日内向科技部申请行政复议，也可在收到通知之日起</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个月内向人民法院提起诉讼。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依据《中华人民共和国行政许可法》《中华人民共和国人类遗传资源管理条例》《人类遗传资源管理条例实施细则》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和《中华人民共和国人类遗传资源管理条例》和《人类遗传资源管理条例实施细则》追究其责任。</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（一）窗口咨询：科技部行政审批受理窗口（地址：北京市海淀区西四环中路</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号院</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号楼</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（三）电话咨询：</w:t>
      </w:r>
      <w:r>
        <w:rPr>
          <w:rFonts w:ascii="Times New Roman" w:hAnsi="Times New Roman" w:eastAsia="仿宋_GB2312" w:cs="Times New Roman"/>
          <w:sz w:val="32"/>
          <w:szCs w:val="32"/>
        </w:rPr>
        <w:t>010-88225151/88225168</w:t>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（四）咨询时间：工作日</w:t>
      </w:r>
      <w:r>
        <w:rPr>
          <w:rFonts w:ascii="Times New Roman" w:hAnsi="Times New Roman" w:eastAsia="仿宋_GB2312" w:cs="Times New Roman"/>
          <w:sz w:val="32"/>
          <w:szCs w:val="32"/>
        </w:rPr>
        <w:t>8:30—11:30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13:30—16:30</w:t>
      </w:r>
      <w:r>
        <w:rPr>
          <w:rFonts w:hint="eastAsia" w:ascii="Times New Roman" w:hAnsi="Times New Roman" w:eastAsia="仿宋_GB2312" w:cs="Times New Roman"/>
          <w:sz w:val="32"/>
          <w:szCs w:val="32"/>
        </w:rPr>
        <w:t>。</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十六、监督、投诉和举报渠道</w:t>
      </w:r>
    </w:p>
    <w:p>
      <w:pPr>
        <w:pStyle w:val="12"/>
        <w:widowControl/>
        <w:numPr>
          <w:ilvl w:val="0"/>
          <w:numId w:val="1"/>
        </w:numPr>
        <w:spacing w:line="360" w:lineRule="auto"/>
        <w:ind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r>
        <w:rPr>
          <w:rFonts w:hint="eastAsia" w:ascii="Times New Roman" w:hAnsi="Times New Roman" w:eastAsia="仿宋_GB2312" w:cs="Times New Roman"/>
          <w:sz w:val="32"/>
          <w:szCs w:val="32"/>
        </w:rPr>
        <w:t>；</w:t>
      </w:r>
    </w:p>
    <w:p>
      <w:pPr>
        <w:pStyle w:val="12"/>
        <w:widowControl/>
        <w:spacing w:line="360" w:lineRule="auto"/>
        <w:ind w:left="600"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（二）电子邮件投诉：</w:t>
      </w:r>
      <w:r>
        <w:fldChar w:fldCharType="begin"/>
      </w:r>
      <w:r>
        <w:instrText xml:space="preserve"> HYPERLINK "mailto:chengxinban@most.cn"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p>
    <w:p>
      <w:pPr>
        <w:pStyle w:val="12"/>
        <w:widowControl/>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（三）信函投诉：科技部科技监督与诚信建设司（地址：北京市复兴路乙</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号）。</w:t>
      </w:r>
    </w:p>
    <w:p>
      <w:pPr>
        <w:pStyle w:val="12"/>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自受理之日起</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个工作日后，可通过人类遗传资源服务系统或科技部网站查询结果。</w:t>
      </w: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610688"/>
      <w:docPartObj>
        <w:docPartGallery w:val="autotext"/>
      </w:docPartObj>
    </w:sdtPr>
    <w:sdtEndPr>
      <w:rPr>
        <w:rFonts w:ascii="Times New Roman" w:hAnsi="Times New Roman" w:cs="Times New Roman"/>
        <w:lang w:val="zh-CN"/>
      </w:rPr>
    </w:sdtEndPr>
    <w:sdtContent>
      <w:p>
        <w:pPr>
          <w:pStyle w:val="5"/>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9</w:t>
        </w:r>
        <w:r>
          <w:rPr>
            <w:rFonts w:ascii="Times New Roman" w:hAnsi="Times New Roman" w:cs="Times New Roman"/>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E15EE"/>
    <w:multiLevelType w:val="multilevel"/>
    <w:tmpl w:val="70AE15E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158D2"/>
    <w:rsid w:val="00015D2E"/>
    <w:rsid w:val="0004558B"/>
    <w:rsid w:val="0007289D"/>
    <w:rsid w:val="00077D4D"/>
    <w:rsid w:val="000D23F8"/>
    <w:rsid w:val="000D5CC0"/>
    <w:rsid w:val="00110D48"/>
    <w:rsid w:val="00115C4C"/>
    <w:rsid w:val="001327EC"/>
    <w:rsid w:val="00134E2C"/>
    <w:rsid w:val="001910F3"/>
    <w:rsid w:val="001B1E08"/>
    <w:rsid w:val="001B3E40"/>
    <w:rsid w:val="001C0CA3"/>
    <w:rsid w:val="001C52A5"/>
    <w:rsid w:val="00211448"/>
    <w:rsid w:val="002201C1"/>
    <w:rsid w:val="00231462"/>
    <w:rsid w:val="00242F8B"/>
    <w:rsid w:val="00271957"/>
    <w:rsid w:val="00275A93"/>
    <w:rsid w:val="00283538"/>
    <w:rsid w:val="00287463"/>
    <w:rsid w:val="002914CE"/>
    <w:rsid w:val="002974EF"/>
    <w:rsid w:val="002C6FA9"/>
    <w:rsid w:val="002D32D8"/>
    <w:rsid w:val="002F7CE9"/>
    <w:rsid w:val="00305AA7"/>
    <w:rsid w:val="00317752"/>
    <w:rsid w:val="00320690"/>
    <w:rsid w:val="003213DB"/>
    <w:rsid w:val="0032697C"/>
    <w:rsid w:val="00330B17"/>
    <w:rsid w:val="003A61BF"/>
    <w:rsid w:val="003C3FBC"/>
    <w:rsid w:val="00402B26"/>
    <w:rsid w:val="0043285E"/>
    <w:rsid w:val="00440FC6"/>
    <w:rsid w:val="004465D9"/>
    <w:rsid w:val="00493D30"/>
    <w:rsid w:val="004B0FA2"/>
    <w:rsid w:val="004B73B3"/>
    <w:rsid w:val="004E637A"/>
    <w:rsid w:val="004F0F62"/>
    <w:rsid w:val="004F222F"/>
    <w:rsid w:val="0050311D"/>
    <w:rsid w:val="005453B3"/>
    <w:rsid w:val="005A0814"/>
    <w:rsid w:val="005A441E"/>
    <w:rsid w:val="005B56D0"/>
    <w:rsid w:val="005D1AB1"/>
    <w:rsid w:val="005D4D68"/>
    <w:rsid w:val="005D5619"/>
    <w:rsid w:val="005E2460"/>
    <w:rsid w:val="005F54FC"/>
    <w:rsid w:val="005F6239"/>
    <w:rsid w:val="00616140"/>
    <w:rsid w:val="0064284B"/>
    <w:rsid w:val="00665524"/>
    <w:rsid w:val="006859B8"/>
    <w:rsid w:val="00692C08"/>
    <w:rsid w:val="006B76E1"/>
    <w:rsid w:val="00703FF5"/>
    <w:rsid w:val="007053E8"/>
    <w:rsid w:val="00726A4F"/>
    <w:rsid w:val="00752189"/>
    <w:rsid w:val="00787748"/>
    <w:rsid w:val="0079581B"/>
    <w:rsid w:val="007A2293"/>
    <w:rsid w:val="007D3B6D"/>
    <w:rsid w:val="008063B0"/>
    <w:rsid w:val="00820FE3"/>
    <w:rsid w:val="008260F0"/>
    <w:rsid w:val="008629F4"/>
    <w:rsid w:val="008B4A2E"/>
    <w:rsid w:val="008B73D1"/>
    <w:rsid w:val="0091544F"/>
    <w:rsid w:val="00965A7C"/>
    <w:rsid w:val="009746A4"/>
    <w:rsid w:val="00977E30"/>
    <w:rsid w:val="00980C51"/>
    <w:rsid w:val="0099589C"/>
    <w:rsid w:val="009B360B"/>
    <w:rsid w:val="00A30209"/>
    <w:rsid w:val="00A60E8A"/>
    <w:rsid w:val="00A91DF1"/>
    <w:rsid w:val="00A93961"/>
    <w:rsid w:val="00AA26ED"/>
    <w:rsid w:val="00AC0B6D"/>
    <w:rsid w:val="00AC40DE"/>
    <w:rsid w:val="00AE7FAF"/>
    <w:rsid w:val="00B14E44"/>
    <w:rsid w:val="00B25ABF"/>
    <w:rsid w:val="00B33BD6"/>
    <w:rsid w:val="00B375FB"/>
    <w:rsid w:val="00B57842"/>
    <w:rsid w:val="00B719D7"/>
    <w:rsid w:val="00B72E57"/>
    <w:rsid w:val="00BE29A8"/>
    <w:rsid w:val="00BE776D"/>
    <w:rsid w:val="00BE7E7C"/>
    <w:rsid w:val="00BF2937"/>
    <w:rsid w:val="00C13C39"/>
    <w:rsid w:val="00C156C4"/>
    <w:rsid w:val="00C873CC"/>
    <w:rsid w:val="00CA01DE"/>
    <w:rsid w:val="00CB2576"/>
    <w:rsid w:val="00CB7BE2"/>
    <w:rsid w:val="00D34A8A"/>
    <w:rsid w:val="00D3535B"/>
    <w:rsid w:val="00D60FF7"/>
    <w:rsid w:val="00D6130F"/>
    <w:rsid w:val="00DC1A2C"/>
    <w:rsid w:val="00DC3E4D"/>
    <w:rsid w:val="00DD303D"/>
    <w:rsid w:val="00DE0761"/>
    <w:rsid w:val="00E322DF"/>
    <w:rsid w:val="00E40DD1"/>
    <w:rsid w:val="00E500ED"/>
    <w:rsid w:val="00E852F1"/>
    <w:rsid w:val="00EB40D5"/>
    <w:rsid w:val="00EB63A7"/>
    <w:rsid w:val="00EC5CDF"/>
    <w:rsid w:val="00ED50A8"/>
    <w:rsid w:val="00EE5B62"/>
    <w:rsid w:val="00F03998"/>
    <w:rsid w:val="00F07B6B"/>
    <w:rsid w:val="00F2586E"/>
    <w:rsid w:val="00F25F48"/>
    <w:rsid w:val="00F4047B"/>
    <w:rsid w:val="00F42C91"/>
    <w:rsid w:val="00F5404A"/>
    <w:rsid w:val="00FB39A5"/>
    <w:rsid w:val="00FD04E6"/>
    <w:rsid w:val="00FD404A"/>
    <w:rsid w:val="00FD5D75"/>
    <w:rsid w:val="00FF2EC0"/>
    <w:rsid w:val="0F5158D2"/>
    <w:rsid w:val="44B54771"/>
    <w:rsid w:val="7E7EAEF0"/>
    <w:rsid w:val="DEFFB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character" w:styleId="10">
    <w:name w:val="Hyperlink"/>
    <w:qFormat/>
    <w:uiPriority w:val="0"/>
    <w:rPr>
      <w:color w:val="0000FF"/>
      <w:u w:val="single"/>
    </w:rPr>
  </w:style>
  <w:style w:type="character" w:styleId="11">
    <w:name w:val="annotation reference"/>
    <w:basedOn w:val="9"/>
    <w:qFormat/>
    <w:uiPriority w:val="0"/>
    <w:rPr>
      <w:sz w:val="21"/>
      <w:szCs w:val="21"/>
    </w:rPr>
  </w:style>
  <w:style w:type="paragraph" w:styleId="12">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3">
    <w:name w:val="页眉 字符"/>
    <w:basedOn w:val="9"/>
    <w:link w:val="6"/>
    <w:qFormat/>
    <w:uiPriority w:val="0"/>
    <w:rPr>
      <w:rFonts w:eastAsia="仿宋" w:cs="Calibri"/>
      <w:kern w:val="2"/>
      <w:sz w:val="18"/>
      <w:szCs w:val="18"/>
    </w:rPr>
  </w:style>
  <w:style w:type="character" w:customStyle="1" w:styleId="14">
    <w:name w:val="页脚 字符"/>
    <w:basedOn w:val="9"/>
    <w:link w:val="5"/>
    <w:qFormat/>
    <w:uiPriority w:val="99"/>
    <w:rPr>
      <w:rFonts w:eastAsia="仿宋" w:cs="Calibri"/>
      <w:kern w:val="2"/>
      <w:sz w:val="18"/>
      <w:szCs w:val="18"/>
    </w:rPr>
  </w:style>
  <w:style w:type="character" w:customStyle="1" w:styleId="15">
    <w:name w:val="批注框文本 字符"/>
    <w:basedOn w:val="9"/>
    <w:link w:val="4"/>
    <w:qFormat/>
    <w:uiPriority w:val="0"/>
    <w:rPr>
      <w:rFonts w:eastAsia="仿宋" w:cs="Calibri"/>
      <w:kern w:val="2"/>
      <w:sz w:val="18"/>
      <w:szCs w:val="18"/>
    </w:rPr>
  </w:style>
  <w:style w:type="character" w:customStyle="1" w:styleId="16">
    <w:name w:val="批注文字 字符"/>
    <w:basedOn w:val="9"/>
    <w:link w:val="3"/>
    <w:qFormat/>
    <w:uiPriority w:val="0"/>
    <w:rPr>
      <w:rFonts w:eastAsia="仿宋" w:cs="Calibri"/>
      <w:kern w:val="2"/>
      <w:sz w:val="28"/>
      <w:szCs w:val="21"/>
    </w:rPr>
  </w:style>
  <w:style w:type="character" w:customStyle="1" w:styleId="17">
    <w:name w:val="批注主题 字符"/>
    <w:basedOn w:val="16"/>
    <w:link w:val="7"/>
    <w:qFormat/>
    <w:uiPriority w:val="0"/>
    <w:rPr>
      <w:rFonts w:eastAsia="仿宋" w:cs="Calibri"/>
      <w:b/>
      <w:bCs/>
      <w:kern w:val="2"/>
      <w:sz w:val="28"/>
      <w:szCs w:val="21"/>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485</Words>
  <Characters>2766</Characters>
  <Lines>23</Lines>
  <Paragraphs>6</Paragraphs>
  <TotalTime>2</TotalTime>
  <ScaleCrop>false</ScaleCrop>
  <LinksUpToDate>false</LinksUpToDate>
  <CharactersWithSpaces>3245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2023-06-16T01:40:00Z</dcterms:created>
  <dc:creator>panzi</dc:creator>
  <cp:lastModifiedBy>greatwall</cp:lastModifiedBy>
  <cp:lastPrinted>2023-07-03T19:22:00Z</cp:lastPrinted>
  <dcterms:modified xsi:type="dcterms:W3CDTF">2024-11-25T00:31:05Z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