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华文中宋" w:hAnsi="华文中宋" w:eastAsia="华文中宋" w:cs="Times New Roman"/>
          <w:b/>
          <w:szCs w:val="44"/>
        </w:rPr>
      </w:pPr>
      <w:bookmarkStart w:id="0" w:name="_Toc31358"/>
      <w:bookmarkStart w:id="1" w:name="_Toc16607"/>
      <w:bookmarkStart w:id="2" w:name="_Toc4869"/>
      <w:r>
        <w:rPr>
          <w:rFonts w:ascii="华文中宋" w:hAnsi="华文中宋" w:eastAsia="华文中宋" w:cs="Times New Roman"/>
          <w:b/>
          <w:szCs w:val="44"/>
        </w:rPr>
        <w:t>中国人类遗传资源采集行政许可</w:t>
      </w:r>
      <w:bookmarkEnd w:id="0"/>
      <w:bookmarkEnd w:id="1"/>
      <w:bookmarkEnd w:id="2"/>
      <w:bookmarkStart w:id="3" w:name="_Toc20649"/>
      <w:bookmarkStart w:id="4" w:name="_Toc180"/>
      <w:bookmarkStart w:id="5" w:name="_Toc10303"/>
    </w:p>
    <w:p>
      <w:pPr>
        <w:pStyle w:val="2"/>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事项服务指南</w:t>
      </w:r>
      <w:bookmarkEnd w:id="3"/>
      <w:bookmarkEnd w:id="4"/>
      <w:bookmarkEnd w:id="5"/>
    </w:p>
    <w:p>
      <w:pPr>
        <w:spacing w:line="360" w:lineRule="auto"/>
        <w:rPr>
          <w:rFonts w:ascii="Times New Roman" w:hAnsi="Times New Roman" w:cs="Times New Roman"/>
        </w:rPr>
      </w:pPr>
    </w:p>
    <w:p>
      <w:pPr>
        <w:pStyle w:val="13"/>
        <w:spacing w:line="360" w:lineRule="auto"/>
        <w:ind w:firstLine="640"/>
        <w:rPr>
          <w:rFonts w:ascii="黑体" w:hAnsi="黑体" w:eastAsia="黑体" w:cs="Times New Roman"/>
          <w:sz w:val="32"/>
          <w:szCs w:val="30"/>
        </w:rPr>
      </w:pPr>
      <w:r>
        <w:rPr>
          <w:rFonts w:ascii="黑体" w:hAnsi="黑体" w:eastAsia="黑体" w:cs="Times New Roman"/>
          <w:sz w:val="32"/>
          <w:szCs w:val="30"/>
        </w:rPr>
        <w:t>一、适用范围</w:t>
      </w:r>
    </w:p>
    <w:p>
      <w:pPr>
        <w:pStyle w:val="13"/>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许可适用于在我国境内开展的中国人类遗传资源采集活动，包括重要遗传家系人类遗传资源采集活动、特定地区人类遗传资源采集活动和用于大规模人群研究且人数大于3000例的人类遗传资源采集活动的规范和管理。所称人类遗传资源包括人类遗传资源材料和人类遗传资源信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特定地区人类遗传资源是指在隔离或者特殊环境下长期生活，并具有特殊体质特征或者在生理特征方面有适应性性状发生的人类遗传资源。特定地区不以是否为少数民族聚居区为划分依据。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规模人群研究且人数大于3000例的采集活动包括但不限于队列研究、横断面研究、临床研究、体质学研究等。为获得相关药品和医疗器械在我国上市许可的临床研究涉及的采集活动不在此列，无需申报采集审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应当申请行政许可的人类遗传资源保藏活动同时涉及人类遗传资源采集的，申请人仅需要申请人类遗传资源保藏行政许可，无需另行申请人类遗传资源采集行政许可。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人类遗传资源材料包括所有类型细胞、全血、组织/组织切片、精液、脑脊液、胸/腹腔积液、血/骨髓涂片、毛发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人类遗传资源信息包括基因、基因组、转录组、表观组及ctDNA等核酸类生物标志物等数据信息，以及与此数据相关的疾病、人种等关联信息，其他</w:t>
      </w:r>
      <w:r>
        <w:rPr>
          <w:rFonts w:hint="eastAsia" w:ascii="Times New Roman" w:hAnsi="Times New Roman" w:eastAsia="仿宋_GB2312" w:cs="Times New Roman"/>
          <w:sz w:val="32"/>
          <w:szCs w:val="32"/>
          <w:lang w:eastAsia="zh-CN"/>
        </w:rPr>
        <w:t>不含人类遗传资源基因信息</w:t>
      </w:r>
      <w:r>
        <w:rPr>
          <w:rFonts w:hint="eastAsia" w:ascii="Times New Roman" w:hAnsi="Times New Roman" w:eastAsia="仿宋_GB2312" w:cs="Times New Roman"/>
          <w:sz w:val="32"/>
          <w:szCs w:val="32"/>
        </w:rPr>
        <w:t>数据类型无需申报。</w:t>
      </w:r>
    </w:p>
    <w:p>
      <w:pPr>
        <w:spacing w:line="360" w:lineRule="auto"/>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为临床诊疗、采供血服务、查处违法犯罪、兴奋剂检测和殡葬等活动需要，对我国人类遗传资源开展采集</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的，依照相关法律、行政法规规定执行，不在本许可的适用范围内。</w:t>
      </w:r>
      <w:r>
        <w:rPr>
          <w:rFonts w:ascii="Times New Roman" w:hAnsi="Times New Roman" w:cs="Times New Roman"/>
          <w:sz w:val="32"/>
          <w:szCs w:val="32"/>
        </w:rPr>
        <w:tab/>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二、事项信息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（一）事项名称：中国人类遗传资源采集审批。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（二）审批类别：行政许可。</w:t>
      </w:r>
    </w:p>
    <w:p>
      <w:pPr>
        <w:spacing w:line="360" w:lineRule="auto"/>
        <w:ind w:firstLine="640" w:firstLineChars="200"/>
        <w:jc w:val="left"/>
        <w:rPr>
          <w:rFonts w:ascii="Times New Roman" w:hAnsi="Times New Roman" w:cs="Times New Roman"/>
          <w:bCs/>
          <w:sz w:val="32"/>
          <w:szCs w:val="32"/>
        </w:rPr>
      </w:pPr>
      <w:r>
        <w:rPr>
          <w:rFonts w:ascii="Times New Roman" w:hAnsi="Times New Roman" w:eastAsia="仿宋_GB2312" w:cs="Times New Roman"/>
          <w:sz w:val="32"/>
          <w:szCs w:val="32"/>
        </w:rPr>
        <w:t>（三）事项编号</w:t>
      </w:r>
      <w:r>
        <w:rPr>
          <w:rFonts w:ascii="Times New Roman" w:hAnsi="Times New Roman" w:cs="Times New Roman"/>
          <w:bCs/>
          <w:sz w:val="32"/>
          <w:szCs w:val="32"/>
        </w:rPr>
        <w:t>：000106101000。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1.《中华人民共和国人类遗传资源管理条例》国令第717号（2019年5月）。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2.《人类遗传资源管理条例实施细则》科学技术部令第21号（2023年5月）。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3.《中华人民共和国行政许可法》主席令第7号（2003年8月）。</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四、受理机构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五、决定机构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六、数量限制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无数量限制</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七、办事要求</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bCs/>
          <w:sz w:val="32"/>
          <w:szCs w:val="32"/>
        </w:rPr>
        <w:t>（</w:t>
      </w:r>
      <w:r>
        <w:rPr>
          <w:rFonts w:hint="eastAsia" w:ascii="楷体" w:hAnsi="楷体" w:eastAsia="楷体" w:cs="Times New Roman"/>
          <w:sz w:val="32"/>
          <w:szCs w:val="32"/>
        </w:rPr>
        <w:t>一）申请人条件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jc w:val="left"/>
        <w:rPr>
          <w:rFonts w:ascii="楷体" w:hAnsi="楷体" w:eastAsia="楷体" w:cs="Times New Roman"/>
          <w:bCs/>
          <w:sz w:val="32"/>
          <w:szCs w:val="32"/>
        </w:rPr>
      </w:pPr>
      <w:r>
        <w:rPr>
          <w:rFonts w:hint="eastAsia" w:ascii="楷体" w:hAnsi="楷体" w:eastAsia="楷体" w:cs="Times New Roman"/>
          <w:bCs/>
          <w:sz w:val="32"/>
          <w:szCs w:val="32"/>
        </w:rPr>
        <w:t>（二）审批条件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1.申请开展中国人类遗传资源采集活动应具备或符合如下条件：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（1）具有法人资格；</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（2）采集目的明确、合法；</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（3）采集方案合理；</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（4）通过伦理审查；</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（5）具有负责人类遗传资源管理的部门和管理制度；</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（6）具有与采集活动相适应的场所、设施、设备和人员。</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2.禁止性要求：申请开展的我国人类遗传资源采集活动，不符合上述条件的，不予批准。</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（三）办理事项类型</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1.新建</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在我国境内开展重要遗传家系人类遗传资源、特定地区人类遗传资源和用于大规模人群研究且人数大于3000例的人类遗传资源采集活动的，活动开始前应当向科技部申请行政许可。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2.变更</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取得人类遗传资源采集行政许可后，采集活动参与单位、采集目的、采集方案或者采集内容等重大事项发生变更的，被许可人应当向科技部提出变更申请。</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有下列情形之一的，科技部根据利害关系人请求或者依据职权，可以撤销人类遗传资源行政许可：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（1）滥用职权、玩忽职守作出准予行政许可决定的;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（2）超越法定职权作出准予行政许可决定的;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（3）违反法定程序作出准予行政许可决定的;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（4）对不具备申请资格或者不符合法定条件的申请人准予行政许可的;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（5）依法可以撤销行政许可的其他情形。</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被许可人以欺骗、贿赂等不正当手段取得行政许可的，科技部应当予以撤销。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（四）办理流程</w:t>
      </w:r>
    </w:p>
    <w:p>
      <w:pPr>
        <w:spacing w:line="360" w:lineRule="auto"/>
        <w:ind w:firstLine="560" w:firstLineChars="200"/>
        <w:rPr>
          <w:rFonts w:ascii="Times New Roman" w:hAnsi="Times New Roman" w:cs="Times New Roman"/>
          <w:szCs w:val="32"/>
        </w:rPr>
      </w:pPr>
      <w:r>
        <w:rPr>
          <w:rFonts w:ascii="Times New Roman" w:hAnsi="Times New Roman" w:cs="Times New Roman"/>
          <w:szCs w:val="32"/>
        </w:rPr>
        <w:drawing>
          <wp:inline distT="0" distB="0" distL="0" distR="0">
            <wp:extent cx="4988560" cy="4448175"/>
            <wp:effectExtent l="0" t="0" r="0" b="0"/>
            <wp:docPr id="51" name="图片 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012539" cy="4469997"/>
                    </a:xfrm>
                    <a:prstGeom prst="rect">
                      <a:avLst/>
                    </a:prstGeom>
                    <a:noFill/>
                  </pic:spPr>
                </pic:pic>
              </a:graphicData>
            </a:graphic>
          </wp:inline>
        </w:drawing>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注：行政许可决定作出前，申请人书面撤回申请的，科技部终止对行政许可申请的审查。</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八、在线申请材料</w:t>
      </w:r>
    </w:p>
    <w:tbl>
      <w:tblPr>
        <w:tblStyle w:val="9"/>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53"/>
        <w:gridCol w:w="5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提交电子材料名称</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法人资格材料如企业法人营业执照或事业单位法人证书或民办非企业单位登记证书等材料</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知情同意书文本</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涉及多中心研究的，不可拆分申报，伦理审查批件应包含审查意见、审查材料清单、签字盖章页、伦理委员会成员签到表等内容。审查材料如涉及版本号和版本日期应注明</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采集方案</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人类遗传资源</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管理制度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合作协议</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如涉及，请提供签字盖章的协议</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其他证明材料</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bl>
    <w:p>
      <w:pPr>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九、申请接收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r>
        <w:rPr>
          <w:rFonts w:hint="eastAsia" w:ascii="Times New Roman" w:hAnsi="Times New Roman" w:eastAsia="仿宋_GB2312" w:cs="Times New Roman"/>
          <w:sz w:val="32"/>
          <w:szCs w:val="32"/>
        </w:rPr>
        <w:t>。</w:t>
      </w:r>
      <w:bookmarkStart w:id="6" w:name="_GoBack"/>
      <w:bookmarkEnd w:id="6"/>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科技部委托中国生物技术发展中心组织专家对受理的申请事项进行技术评审，形成专家评审意见，作为作出行政许可决定的参考依据。</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科技部根据评审结果，作出批准或不批准的决定。</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科技部作出的准予行政许可决定，将在科技部网站予以公开。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（六）送达</w:t>
      </w:r>
    </w:p>
    <w:p>
      <w:pPr>
        <w:spacing w:line="360" w:lineRule="auto"/>
        <w:ind w:firstLine="640" w:firstLineChars="200"/>
        <w:jc w:val="left"/>
        <w:rPr>
          <w:rFonts w:ascii="Times New Roman" w:hAnsi="Times New Roman" w:eastAsia="仿宋_GB2312" w:cs="Times New Roman"/>
          <w:sz w:val="30"/>
          <w:szCs w:val="30"/>
        </w:rPr>
      </w:pPr>
      <w:r>
        <w:rPr>
          <w:rFonts w:ascii="Times New Roman" w:hAnsi="Times New Roman" w:eastAsia="仿宋_GB2312" w:cs="Times New Roman"/>
          <w:sz w:val="32"/>
          <w:szCs w:val="32"/>
        </w:rPr>
        <w:t>科技部在10个工作日内通过邮寄或电子送达方式将审批决定书送达申请单位指定的地址或邮箱/网址，同时抄送省级科技行政部门，申请单位可在申报系统查询送达状态。</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中国人类遗传资源采集审批决定书。</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（一）依据《中华人民共和国行政许可法》《中华人民共和国人类遗传资源管理条例》《人类遗传资源管理条例实施细则》规定，申请人依法享有如下权利：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人类遗传资源管理条例实施细则》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十六、监督、投诉和举报渠道</w:t>
      </w:r>
    </w:p>
    <w:p>
      <w:pPr>
        <w:pStyle w:val="13"/>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3"/>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3"/>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或科技部网站查询结果。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746852"/>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C3CA1"/>
    <w:multiLevelType w:val="multilevel"/>
    <w:tmpl w:val="5D6C3CA1"/>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147A6"/>
    <w:rsid w:val="00001108"/>
    <w:rsid w:val="00007116"/>
    <w:rsid w:val="00022F99"/>
    <w:rsid w:val="00035CA2"/>
    <w:rsid w:val="00057307"/>
    <w:rsid w:val="00067ACD"/>
    <w:rsid w:val="000725E4"/>
    <w:rsid w:val="00084332"/>
    <w:rsid w:val="000856E6"/>
    <w:rsid w:val="00091064"/>
    <w:rsid w:val="000955DB"/>
    <w:rsid w:val="000A3D8B"/>
    <w:rsid w:val="000B757F"/>
    <w:rsid w:val="000C0DEF"/>
    <w:rsid w:val="000D1613"/>
    <w:rsid w:val="000D22BA"/>
    <w:rsid w:val="000D3F3B"/>
    <w:rsid w:val="000D435B"/>
    <w:rsid w:val="001169DF"/>
    <w:rsid w:val="00121A9E"/>
    <w:rsid w:val="001518E5"/>
    <w:rsid w:val="00160250"/>
    <w:rsid w:val="001628EB"/>
    <w:rsid w:val="00171426"/>
    <w:rsid w:val="00174BFE"/>
    <w:rsid w:val="00184483"/>
    <w:rsid w:val="0018599D"/>
    <w:rsid w:val="00192A63"/>
    <w:rsid w:val="00195BB8"/>
    <w:rsid w:val="00195CA8"/>
    <w:rsid w:val="001B65F6"/>
    <w:rsid w:val="001C1BB0"/>
    <w:rsid w:val="001D5CDE"/>
    <w:rsid w:val="001E3E3C"/>
    <w:rsid w:val="001F4B23"/>
    <w:rsid w:val="002018E3"/>
    <w:rsid w:val="00203B0A"/>
    <w:rsid w:val="00216A02"/>
    <w:rsid w:val="00217D66"/>
    <w:rsid w:val="00221EA7"/>
    <w:rsid w:val="00224783"/>
    <w:rsid w:val="00226B9A"/>
    <w:rsid w:val="0024022E"/>
    <w:rsid w:val="00242684"/>
    <w:rsid w:val="002434F8"/>
    <w:rsid w:val="00261FD4"/>
    <w:rsid w:val="0027379F"/>
    <w:rsid w:val="00281234"/>
    <w:rsid w:val="00281797"/>
    <w:rsid w:val="00285F8F"/>
    <w:rsid w:val="00295321"/>
    <w:rsid w:val="002A1050"/>
    <w:rsid w:val="002A6273"/>
    <w:rsid w:val="002C5B09"/>
    <w:rsid w:val="002D188D"/>
    <w:rsid w:val="002E1B17"/>
    <w:rsid w:val="002E1B51"/>
    <w:rsid w:val="002E209A"/>
    <w:rsid w:val="002F7D05"/>
    <w:rsid w:val="0030602D"/>
    <w:rsid w:val="00322B9B"/>
    <w:rsid w:val="00346646"/>
    <w:rsid w:val="00356890"/>
    <w:rsid w:val="003664B0"/>
    <w:rsid w:val="00376236"/>
    <w:rsid w:val="00383357"/>
    <w:rsid w:val="003865CC"/>
    <w:rsid w:val="003A6337"/>
    <w:rsid w:val="003B50B7"/>
    <w:rsid w:val="003B7577"/>
    <w:rsid w:val="003E7D3D"/>
    <w:rsid w:val="003F7C16"/>
    <w:rsid w:val="004314AF"/>
    <w:rsid w:val="00446B1E"/>
    <w:rsid w:val="004516F1"/>
    <w:rsid w:val="004A461B"/>
    <w:rsid w:val="004A592F"/>
    <w:rsid w:val="004D1580"/>
    <w:rsid w:val="004D40E4"/>
    <w:rsid w:val="004F03C7"/>
    <w:rsid w:val="004F1EFE"/>
    <w:rsid w:val="005072B8"/>
    <w:rsid w:val="00512891"/>
    <w:rsid w:val="005128FD"/>
    <w:rsid w:val="005133C8"/>
    <w:rsid w:val="0052031E"/>
    <w:rsid w:val="00522AA0"/>
    <w:rsid w:val="00525379"/>
    <w:rsid w:val="00543D94"/>
    <w:rsid w:val="00544E9D"/>
    <w:rsid w:val="005464DD"/>
    <w:rsid w:val="00550836"/>
    <w:rsid w:val="00555C29"/>
    <w:rsid w:val="005654F8"/>
    <w:rsid w:val="00570A2D"/>
    <w:rsid w:val="0058392E"/>
    <w:rsid w:val="00583A6F"/>
    <w:rsid w:val="00597440"/>
    <w:rsid w:val="005A6FEB"/>
    <w:rsid w:val="005B0B60"/>
    <w:rsid w:val="005B213B"/>
    <w:rsid w:val="005B3141"/>
    <w:rsid w:val="005B5060"/>
    <w:rsid w:val="00603F75"/>
    <w:rsid w:val="0061710A"/>
    <w:rsid w:val="00657EA5"/>
    <w:rsid w:val="00663AFE"/>
    <w:rsid w:val="00677DF5"/>
    <w:rsid w:val="006A2B29"/>
    <w:rsid w:val="006B2862"/>
    <w:rsid w:val="006B3584"/>
    <w:rsid w:val="006B58E0"/>
    <w:rsid w:val="006C060E"/>
    <w:rsid w:val="006F3930"/>
    <w:rsid w:val="007001E8"/>
    <w:rsid w:val="00701D93"/>
    <w:rsid w:val="0071117B"/>
    <w:rsid w:val="00713B86"/>
    <w:rsid w:val="00715102"/>
    <w:rsid w:val="00721688"/>
    <w:rsid w:val="007359BF"/>
    <w:rsid w:val="00737EA8"/>
    <w:rsid w:val="00752808"/>
    <w:rsid w:val="007665D7"/>
    <w:rsid w:val="007764C3"/>
    <w:rsid w:val="00777AB8"/>
    <w:rsid w:val="007B0F78"/>
    <w:rsid w:val="007C0B2A"/>
    <w:rsid w:val="007C43C2"/>
    <w:rsid w:val="007D31CE"/>
    <w:rsid w:val="007E4747"/>
    <w:rsid w:val="007E5E1E"/>
    <w:rsid w:val="008019F9"/>
    <w:rsid w:val="00823009"/>
    <w:rsid w:val="00830E08"/>
    <w:rsid w:val="00846DBE"/>
    <w:rsid w:val="00855929"/>
    <w:rsid w:val="008602C0"/>
    <w:rsid w:val="0087076C"/>
    <w:rsid w:val="00872537"/>
    <w:rsid w:val="00880C29"/>
    <w:rsid w:val="008834E5"/>
    <w:rsid w:val="008A3421"/>
    <w:rsid w:val="008A5CFA"/>
    <w:rsid w:val="008C6FFA"/>
    <w:rsid w:val="008D1FDD"/>
    <w:rsid w:val="008D2885"/>
    <w:rsid w:val="008D309E"/>
    <w:rsid w:val="008D3B9D"/>
    <w:rsid w:val="008E37D1"/>
    <w:rsid w:val="0090306A"/>
    <w:rsid w:val="0092305E"/>
    <w:rsid w:val="009254D2"/>
    <w:rsid w:val="009421D8"/>
    <w:rsid w:val="00944FD7"/>
    <w:rsid w:val="009453A9"/>
    <w:rsid w:val="009716DB"/>
    <w:rsid w:val="0097783E"/>
    <w:rsid w:val="00984D14"/>
    <w:rsid w:val="00985386"/>
    <w:rsid w:val="009A0455"/>
    <w:rsid w:val="009A11E9"/>
    <w:rsid w:val="009C2F00"/>
    <w:rsid w:val="009C682B"/>
    <w:rsid w:val="009D0A94"/>
    <w:rsid w:val="009E269E"/>
    <w:rsid w:val="009F1342"/>
    <w:rsid w:val="00A11C3B"/>
    <w:rsid w:val="00A16164"/>
    <w:rsid w:val="00A40FE5"/>
    <w:rsid w:val="00A41518"/>
    <w:rsid w:val="00A600A9"/>
    <w:rsid w:val="00A61AD6"/>
    <w:rsid w:val="00A6513C"/>
    <w:rsid w:val="00A6557E"/>
    <w:rsid w:val="00A67AED"/>
    <w:rsid w:val="00A72FC8"/>
    <w:rsid w:val="00A736FF"/>
    <w:rsid w:val="00A7444A"/>
    <w:rsid w:val="00A76C2A"/>
    <w:rsid w:val="00A82538"/>
    <w:rsid w:val="00A83B3C"/>
    <w:rsid w:val="00A93DEF"/>
    <w:rsid w:val="00A9785A"/>
    <w:rsid w:val="00AB52DB"/>
    <w:rsid w:val="00AB5F81"/>
    <w:rsid w:val="00AC2DF3"/>
    <w:rsid w:val="00AD2320"/>
    <w:rsid w:val="00AE7E93"/>
    <w:rsid w:val="00AF583F"/>
    <w:rsid w:val="00B0454D"/>
    <w:rsid w:val="00B135AF"/>
    <w:rsid w:val="00B145EC"/>
    <w:rsid w:val="00B1485A"/>
    <w:rsid w:val="00B2120F"/>
    <w:rsid w:val="00B21600"/>
    <w:rsid w:val="00B25EF3"/>
    <w:rsid w:val="00B26580"/>
    <w:rsid w:val="00B343DF"/>
    <w:rsid w:val="00B420F7"/>
    <w:rsid w:val="00B46A65"/>
    <w:rsid w:val="00B5313D"/>
    <w:rsid w:val="00B53C60"/>
    <w:rsid w:val="00B67F3A"/>
    <w:rsid w:val="00B73AE9"/>
    <w:rsid w:val="00B86645"/>
    <w:rsid w:val="00B87CC6"/>
    <w:rsid w:val="00B9136B"/>
    <w:rsid w:val="00B95286"/>
    <w:rsid w:val="00BA5BE8"/>
    <w:rsid w:val="00BC017E"/>
    <w:rsid w:val="00BE3757"/>
    <w:rsid w:val="00C06DE6"/>
    <w:rsid w:val="00C205C0"/>
    <w:rsid w:val="00C20B0C"/>
    <w:rsid w:val="00C23CA1"/>
    <w:rsid w:val="00C31D0F"/>
    <w:rsid w:val="00C34D91"/>
    <w:rsid w:val="00C544AD"/>
    <w:rsid w:val="00C61BF3"/>
    <w:rsid w:val="00C70B69"/>
    <w:rsid w:val="00C90C75"/>
    <w:rsid w:val="00C9462B"/>
    <w:rsid w:val="00CA205C"/>
    <w:rsid w:val="00CA619E"/>
    <w:rsid w:val="00CA7A21"/>
    <w:rsid w:val="00CD0C74"/>
    <w:rsid w:val="00CD4531"/>
    <w:rsid w:val="00CF031F"/>
    <w:rsid w:val="00CF4D46"/>
    <w:rsid w:val="00D2060F"/>
    <w:rsid w:val="00D27EE7"/>
    <w:rsid w:val="00D315F2"/>
    <w:rsid w:val="00D42D16"/>
    <w:rsid w:val="00D43B33"/>
    <w:rsid w:val="00D642A4"/>
    <w:rsid w:val="00D66E1C"/>
    <w:rsid w:val="00D71897"/>
    <w:rsid w:val="00D80B17"/>
    <w:rsid w:val="00D9222C"/>
    <w:rsid w:val="00D9291E"/>
    <w:rsid w:val="00DB31A9"/>
    <w:rsid w:val="00DC5E82"/>
    <w:rsid w:val="00DF5B14"/>
    <w:rsid w:val="00E15A4C"/>
    <w:rsid w:val="00E22A22"/>
    <w:rsid w:val="00E25663"/>
    <w:rsid w:val="00E257CA"/>
    <w:rsid w:val="00E26DAD"/>
    <w:rsid w:val="00E55677"/>
    <w:rsid w:val="00E562AE"/>
    <w:rsid w:val="00E61640"/>
    <w:rsid w:val="00E73217"/>
    <w:rsid w:val="00E7322A"/>
    <w:rsid w:val="00E77B74"/>
    <w:rsid w:val="00E80BB1"/>
    <w:rsid w:val="00E827BC"/>
    <w:rsid w:val="00E83592"/>
    <w:rsid w:val="00E914BE"/>
    <w:rsid w:val="00E95CE5"/>
    <w:rsid w:val="00EA3026"/>
    <w:rsid w:val="00EA43AC"/>
    <w:rsid w:val="00EA7B93"/>
    <w:rsid w:val="00EC3FE3"/>
    <w:rsid w:val="00EC5239"/>
    <w:rsid w:val="00EC5D55"/>
    <w:rsid w:val="00ED20C5"/>
    <w:rsid w:val="00ED3464"/>
    <w:rsid w:val="00ED37E9"/>
    <w:rsid w:val="00EE25F6"/>
    <w:rsid w:val="00EE30C1"/>
    <w:rsid w:val="00F1235C"/>
    <w:rsid w:val="00F315A5"/>
    <w:rsid w:val="00F5431B"/>
    <w:rsid w:val="00F57B17"/>
    <w:rsid w:val="00F6768A"/>
    <w:rsid w:val="00F71EB5"/>
    <w:rsid w:val="00F85AF7"/>
    <w:rsid w:val="00F93DE1"/>
    <w:rsid w:val="00F94ECE"/>
    <w:rsid w:val="00FB5889"/>
    <w:rsid w:val="00FB6231"/>
    <w:rsid w:val="00FC4029"/>
    <w:rsid w:val="00FC4AA2"/>
    <w:rsid w:val="00FC76F7"/>
    <w:rsid w:val="00FD51A2"/>
    <w:rsid w:val="00FD6677"/>
    <w:rsid w:val="00FE6C20"/>
    <w:rsid w:val="00FF03CA"/>
    <w:rsid w:val="00FF0AE1"/>
    <w:rsid w:val="00FF6421"/>
    <w:rsid w:val="09A25F09"/>
    <w:rsid w:val="1A007F49"/>
    <w:rsid w:val="44C25524"/>
    <w:rsid w:val="482147A6"/>
    <w:rsid w:val="632C1779"/>
    <w:rsid w:val="ADF7C10D"/>
    <w:rsid w:val="BF8C2E26"/>
    <w:rsid w:val="C3F53DD3"/>
    <w:rsid w:val="FDE7E7AE"/>
    <w:rsid w:val="FF3F0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link w:val="19"/>
    <w:qFormat/>
    <w:uiPriority w:val="0"/>
    <w:rPr>
      <w:rFonts w:ascii="仿宋_GB2312" w:hAnsi="Times New Roman" w:eastAsia="仿宋_GB2312" w:cs="Times New Roman"/>
      <w:kern w:val="0"/>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4">
    <w:name w:val="页眉 字符"/>
    <w:basedOn w:val="10"/>
    <w:link w:val="7"/>
    <w:qFormat/>
    <w:uiPriority w:val="0"/>
    <w:rPr>
      <w:rFonts w:eastAsia="仿宋" w:cs="Calibri"/>
      <w:kern w:val="2"/>
      <w:sz w:val="18"/>
      <w:szCs w:val="18"/>
    </w:rPr>
  </w:style>
  <w:style w:type="character" w:customStyle="1" w:styleId="15">
    <w:name w:val="页脚 字符"/>
    <w:basedOn w:val="10"/>
    <w:link w:val="6"/>
    <w:qFormat/>
    <w:uiPriority w:val="99"/>
    <w:rPr>
      <w:rFonts w:eastAsia="仿宋" w:cs="Calibri"/>
      <w:kern w:val="2"/>
      <w:sz w:val="18"/>
      <w:szCs w:val="18"/>
    </w:rPr>
  </w:style>
  <w:style w:type="character" w:customStyle="1" w:styleId="16">
    <w:name w:val="批注框文本 字符"/>
    <w:basedOn w:val="10"/>
    <w:link w:val="5"/>
    <w:qFormat/>
    <w:uiPriority w:val="0"/>
    <w:rPr>
      <w:rFonts w:eastAsia="仿宋" w:cs="Calibri"/>
      <w:kern w:val="2"/>
      <w:sz w:val="18"/>
      <w:szCs w:val="18"/>
    </w:rPr>
  </w:style>
  <w:style w:type="character" w:customStyle="1" w:styleId="17">
    <w:name w:val="批注文字 字符"/>
    <w:basedOn w:val="10"/>
    <w:link w:val="3"/>
    <w:qFormat/>
    <w:uiPriority w:val="0"/>
    <w:rPr>
      <w:rFonts w:eastAsia="仿宋" w:cs="Calibri"/>
      <w:kern w:val="2"/>
      <w:sz w:val="28"/>
      <w:szCs w:val="21"/>
    </w:rPr>
  </w:style>
  <w:style w:type="character" w:customStyle="1" w:styleId="18">
    <w:name w:val="批注主题 字符"/>
    <w:basedOn w:val="17"/>
    <w:link w:val="8"/>
    <w:qFormat/>
    <w:uiPriority w:val="0"/>
    <w:rPr>
      <w:rFonts w:eastAsia="仿宋" w:cs="Calibri"/>
      <w:b/>
      <w:bCs/>
      <w:kern w:val="2"/>
      <w:sz w:val="28"/>
      <w:szCs w:val="21"/>
    </w:rPr>
  </w:style>
  <w:style w:type="character" w:customStyle="1" w:styleId="19">
    <w:name w:val="正文文本 字符"/>
    <w:basedOn w:val="10"/>
    <w:link w:val="4"/>
    <w:qFormat/>
    <w:uiPriority w:val="0"/>
    <w:rPr>
      <w:rFonts w:ascii="仿宋_GB2312" w:hAnsi="Times New Roman" w:eastAsia="仿宋_GB2312"/>
      <w:sz w:val="24"/>
      <w:szCs w:val="24"/>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1">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Words>
  <Characters>3114</Characters>
  <Lines>25</Lines>
  <Paragraphs>7</Paragraphs>
  <TotalTime>1</TotalTime>
  <ScaleCrop>false</ScaleCrop>
  <LinksUpToDate>false</LinksUpToDate>
  <CharactersWithSpaces>3653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2023-06-17T00:10:00Z</dcterms:created>
  <dc:creator>panzi</dc:creator>
  <cp:lastModifiedBy>greatwall</cp:lastModifiedBy>
  <cp:lastPrinted>2023-07-01T00:20:00Z</cp:lastPrinted>
  <dcterms:modified xsi:type="dcterms:W3CDTF">2024-12-02T09:11:34Z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B5965E12C88249D082470FB84E43B0DD</vt:lpwstr>
  </property>
</Properties>
</file>