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84"/>
          <w:szCs w:val="84"/>
        </w:rPr>
      </w:pPr>
      <w:r>
        <w:rPr>
          <w:rFonts w:hint="eastAsia"/>
          <w:sz w:val="84"/>
          <w:szCs w:val="84"/>
        </w:rPr>
        <w:t>2020年度</w:t>
      </w:r>
    </w:p>
    <w:p>
      <w:pPr>
        <w:pStyle w:val="14"/>
        <w:jc w:val="center"/>
        <w:rPr>
          <w:rFonts w:hint="eastAsia"/>
          <w:sz w:val="84"/>
          <w:szCs w:val="84"/>
          <w:lang w:val="en-US" w:eastAsia="zh-CN"/>
        </w:rPr>
      </w:pPr>
      <w:r>
        <w:rPr>
          <w:rFonts w:hint="eastAsia"/>
          <w:sz w:val="84"/>
          <w:szCs w:val="84"/>
          <w:lang w:val="en-US" w:eastAsia="zh-CN"/>
        </w:rPr>
        <w:t>湖南省食用菌研究所</w:t>
      </w:r>
    </w:p>
    <w:p>
      <w:pPr>
        <w:pStyle w:val="14"/>
        <w:jc w:val="center"/>
        <w:rPr>
          <w:sz w:val="84"/>
          <w:szCs w:val="84"/>
        </w:rPr>
      </w:pPr>
      <w:r>
        <w:rPr>
          <w:rFonts w:hint="eastAsia"/>
          <w:sz w:val="84"/>
          <w:szCs w:val="84"/>
        </w:rPr>
        <w:t>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rFonts w:hint="eastAsia"/>
          <w:sz w:val="32"/>
          <w:szCs w:val="32"/>
        </w:rPr>
      </w:pPr>
    </w:p>
    <w:p>
      <w:pPr>
        <w:pStyle w:val="14"/>
        <w:jc w:val="center"/>
        <w:rPr>
          <w:rFonts w:hint="eastAsia"/>
          <w:sz w:val="32"/>
          <w:szCs w:val="32"/>
        </w:rPr>
      </w:pPr>
    </w:p>
    <w:p>
      <w:pPr>
        <w:pStyle w:val="14"/>
        <w:jc w:val="center"/>
        <w:rPr>
          <w:sz w:val="32"/>
          <w:szCs w:val="32"/>
        </w:rPr>
      </w:pPr>
    </w:p>
    <w:p>
      <w:pPr>
        <w:pStyle w:val="14"/>
        <w:jc w:val="center"/>
        <w:rPr>
          <w:sz w:val="32"/>
          <w:szCs w:val="32"/>
        </w:rPr>
      </w:pPr>
    </w:p>
    <w:p>
      <w:pPr>
        <w:pStyle w:val="14"/>
        <w:spacing w:line="500" w:lineRule="exact"/>
        <w:jc w:val="both"/>
        <w:rPr>
          <w:b/>
          <w:sz w:val="36"/>
          <w:szCs w:val="28"/>
        </w:rPr>
      </w:pPr>
    </w:p>
    <w:p>
      <w:pPr>
        <w:pStyle w:val="14"/>
        <w:spacing w:line="500" w:lineRule="exact"/>
        <w:jc w:val="center"/>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湖南省食用菌研究所</w:t>
      </w:r>
      <w:r>
        <w:rPr>
          <w:rFonts w:hint="eastAsia"/>
          <w:b/>
          <w:sz w:val="28"/>
          <w:szCs w:val="28"/>
        </w:rPr>
        <w:t>概况</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4"/>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4"/>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4"/>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4"/>
        <w:jc w:val="center"/>
        <w:rPr>
          <w:sz w:val="84"/>
          <w:szCs w:val="84"/>
        </w:rPr>
      </w:pPr>
      <w:r>
        <w:rPr>
          <w:rFonts w:hint="eastAsia"/>
          <w:sz w:val="84"/>
          <w:szCs w:val="84"/>
        </w:rPr>
        <w:t>第一部分</w:t>
      </w:r>
      <w:r>
        <w:rPr>
          <w:sz w:val="84"/>
          <w:szCs w:val="84"/>
        </w:rPr>
        <w:t xml:space="preserve"> </w:t>
      </w:r>
    </w:p>
    <w:p>
      <w:pPr>
        <w:pStyle w:val="14"/>
        <w:jc w:val="center"/>
        <w:rPr>
          <w:sz w:val="84"/>
          <w:szCs w:val="84"/>
        </w:rPr>
      </w:pPr>
    </w:p>
    <w:p>
      <w:pPr>
        <w:pStyle w:val="14"/>
        <w:jc w:val="center"/>
        <w:rPr>
          <w:rFonts w:hint="eastAsia"/>
          <w:sz w:val="84"/>
          <w:szCs w:val="84"/>
          <w:lang w:val="en-US" w:eastAsia="zh-CN"/>
        </w:rPr>
      </w:pPr>
      <w:r>
        <w:rPr>
          <w:rFonts w:hint="eastAsia"/>
          <w:sz w:val="84"/>
          <w:szCs w:val="84"/>
          <w:lang w:val="en-US" w:eastAsia="zh-CN"/>
        </w:rPr>
        <w:t>湖南省食用菌研究所</w:t>
      </w:r>
    </w:p>
    <w:p>
      <w:pPr>
        <w:pStyle w:val="14"/>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ind w:left="0" w:leftChars="0"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eastAsia" w:ascii="宋体" w:hAnsi="宋体" w:eastAsia="宋体" w:cs="宋体"/>
          <w:sz w:val="32"/>
          <w:szCs w:val="32"/>
        </w:rPr>
      </w:pPr>
      <w:r>
        <w:rPr>
          <w:rFonts w:hint="eastAsia" w:ascii="宋体" w:hAnsi="宋体" w:eastAsia="宋体" w:cs="宋体"/>
          <w:sz w:val="32"/>
          <w:szCs w:val="32"/>
        </w:rPr>
        <w:t>湖南省食用菌研究所是我省唯一专门从事食用菌研究与应用的科研机构，成立于1983年。是全国四大省级食用菌专业研究开发机构之一，主要从事食用菌新品种的引进、驯化、繁育及优质高产栽培技术的研究与开发，以及提供食用菌技术培训和技术咨询服务等相关社会公益性服务。科研仪器设备齐全，试验检测手段先进。</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color w:val="FF0000"/>
          <w:kern w:val="0"/>
          <w:sz w:val="32"/>
          <w:szCs w:val="32"/>
        </w:rPr>
      </w:pPr>
      <w:r>
        <w:rPr>
          <w:rFonts w:hint="eastAsia" w:asciiTheme="minorEastAsia" w:hAnsiTheme="minorEastAsia"/>
          <w:bCs/>
          <w:kern w:val="0"/>
          <w:sz w:val="32"/>
          <w:szCs w:val="32"/>
        </w:rPr>
        <w:t>（一）内设机构设置。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湖南省食用菌研究所隶属于湖南省供销社，属正处级公益一类事业单位。研究所内部设立了人事财务部、综合办公室、遗传育种研究室、高效栽培研究室、保鲜加工研究室等5个部门。</w:t>
      </w:r>
    </w:p>
    <w:p>
      <w:pPr>
        <w:widowControl/>
        <w:numPr>
          <w:ilvl w:val="0"/>
          <w:numId w:val="2"/>
        </w:numPr>
        <w:spacing w:line="600" w:lineRule="exact"/>
        <w:rPr>
          <w:rFonts w:hint="default"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决算单位构成。</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lang w:val="en-US" w:eastAsia="zh-CN"/>
        </w:rPr>
        <w:t>湖南食用菌研究所</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bCs/>
          <w:kern w:val="0"/>
          <w:sz w:val="32"/>
          <w:szCs w:val="32"/>
          <w:lang w:val="en-US" w:eastAsia="zh-CN"/>
        </w:rPr>
        <w:t>湖南省食用菌研究所本级。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fixed"/>
        <w:tblCellMar>
          <w:top w:w="0" w:type="dxa"/>
          <w:left w:w="108" w:type="dxa"/>
          <w:bottom w:w="0" w:type="dxa"/>
          <w:right w:w="108" w:type="dxa"/>
        </w:tblCellMar>
      </w:tblPr>
      <w:tblGrid>
        <w:gridCol w:w="4126"/>
        <w:gridCol w:w="700"/>
        <w:gridCol w:w="380"/>
        <w:gridCol w:w="697"/>
        <w:gridCol w:w="232"/>
        <w:gridCol w:w="516"/>
        <w:gridCol w:w="2952"/>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湖南省食用菌研究所</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6651"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收入</w:t>
            </w:r>
          </w:p>
        </w:tc>
        <w:tc>
          <w:tcPr>
            <w:tcW w:w="7430"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    目</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行次</w:t>
            </w:r>
          </w:p>
        </w:tc>
        <w:tc>
          <w:tcPr>
            <w:tcW w:w="1825"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决算数</w:t>
            </w:r>
          </w:p>
        </w:tc>
        <w:tc>
          <w:tcPr>
            <w:tcW w:w="2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    次</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825"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一、一般公共预算财政拨款收入</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lang w:val="en-US" w:eastAsia="zh-CN"/>
              </w:rPr>
              <w:t>767.68</w:t>
            </w:r>
          </w:p>
        </w:tc>
        <w:tc>
          <w:tcPr>
            <w:tcW w:w="2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szCs w:val="22"/>
              </w:rPr>
            </w:pPr>
            <w:r>
              <w:rPr>
                <w:rFonts w:hint="eastAsia" w:ascii="宋体" w:hAnsi="宋体" w:eastAsia="宋体" w:cs="宋体"/>
                <w:b w:val="0"/>
                <w:bCs w:val="0"/>
                <w:kern w:val="0"/>
                <w:sz w:val="22"/>
                <w:szCs w:val="22"/>
                <w:lang w:val="en-US" w:eastAsia="zh-CN"/>
              </w:rPr>
              <w:t>5.81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二、政府性基金预算财政拨款收入</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2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三、国有资本经营预算财政拨款收入</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2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四、上级补助收入</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2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五、事业收入</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2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六、经营收入</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2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szCs w:val="22"/>
              </w:rPr>
            </w:pPr>
            <w:r>
              <w:rPr>
                <w:rFonts w:hint="eastAsia" w:ascii="宋体" w:hAnsi="宋体" w:eastAsia="宋体" w:cs="宋体"/>
                <w:b w:val="0"/>
                <w:bCs w:val="0"/>
                <w:kern w:val="0"/>
                <w:sz w:val="22"/>
                <w:szCs w:val="22"/>
                <w:lang w:val="en-US" w:eastAsia="zh-CN"/>
              </w:rPr>
              <w:t>604.28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七、附属单位上缴收入</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29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七、文化旅游和就业支出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八、其他收入</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lang w:val="en-US" w:eastAsia="zh-CN"/>
              </w:rPr>
              <w:t>60.47</w:t>
            </w:r>
          </w:p>
        </w:tc>
        <w:tc>
          <w:tcPr>
            <w:tcW w:w="29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78.08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29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10</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29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18.20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11</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29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12</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29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56.33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13</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29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本年收入合计</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14</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lang w:val="en-US" w:eastAsia="zh-CN"/>
              </w:rPr>
              <w:t>828.15</w:t>
            </w:r>
          </w:p>
        </w:tc>
        <w:tc>
          <w:tcPr>
            <w:tcW w:w="2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762.71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szCs w:val="22"/>
              </w:rPr>
            </w:pPr>
            <w:r>
              <w:rPr>
                <w:rFonts w:hint="eastAsia" w:ascii="宋体" w:hAnsi="宋体" w:eastAsia="宋体" w:cs="宋体"/>
                <w:kern w:val="0"/>
                <w:sz w:val="22"/>
                <w:szCs w:val="22"/>
              </w:rPr>
              <w:t>使用非财政拨款结余</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15</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29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26.83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年初结转和结余</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16</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lang w:val="en-US" w:eastAsia="zh-CN"/>
              </w:rPr>
              <w:t>102.48</w:t>
            </w:r>
          </w:p>
        </w:tc>
        <w:tc>
          <w:tcPr>
            <w:tcW w:w="29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141.10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总计</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17</w:t>
            </w:r>
          </w:p>
        </w:tc>
        <w:tc>
          <w:tcPr>
            <w:tcW w:w="182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lang w:val="en-US" w:eastAsia="zh-CN"/>
              </w:rPr>
              <w:t>930.63</w:t>
            </w:r>
          </w:p>
        </w:tc>
        <w:tc>
          <w:tcPr>
            <w:tcW w:w="2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930.63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both"/>
        <w:rPr>
          <w:rFonts w:ascii="黑体" w:hAnsi="黑体" w:eastAsia="黑体"/>
          <w:sz w:val="28"/>
          <w:szCs w:val="28"/>
        </w:rPr>
        <w:sectPr>
          <w:pgSz w:w="16838" w:h="11906" w:orient="landscape"/>
          <w:pgMar w:top="1417" w:right="1440" w:bottom="850" w:left="1440" w:header="851" w:footer="992" w:gutter="0"/>
          <w:cols w:space="0" w:num="1"/>
          <w:rtlGutter w:val="0"/>
          <w:docGrid w:type="linesAndChars" w:linePitch="312" w:charSpace="0"/>
        </w:sect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6"/>
        <w:tblW w:w="0" w:type="auto"/>
        <w:tblInd w:w="874" w:type="dxa"/>
        <w:shd w:val="clear" w:color="auto" w:fill="auto"/>
        <w:tblLayout w:type="autofit"/>
        <w:tblCellMar>
          <w:top w:w="0" w:type="dxa"/>
          <w:left w:w="108" w:type="dxa"/>
          <w:bottom w:w="0" w:type="dxa"/>
          <w:right w:w="108" w:type="dxa"/>
        </w:tblCellMar>
      </w:tblPr>
      <w:tblGrid>
        <w:gridCol w:w="908"/>
        <w:gridCol w:w="908"/>
        <w:gridCol w:w="3616"/>
        <w:gridCol w:w="1416"/>
        <w:gridCol w:w="1416"/>
        <w:gridCol w:w="1416"/>
        <w:gridCol w:w="1016"/>
        <w:gridCol w:w="1016"/>
        <w:gridCol w:w="1816"/>
        <w:gridCol w:w="1116"/>
      </w:tblGrid>
      <w:tr>
        <w:tblPrEx>
          <w:tblCellMar>
            <w:top w:w="0" w:type="dxa"/>
            <w:left w:w="108" w:type="dxa"/>
            <w:bottom w:w="0" w:type="dxa"/>
            <w:right w:w="108" w:type="dxa"/>
          </w:tblCellMar>
        </w:tblPrEx>
        <w:trPr>
          <w:trHeight w:val="375" w:hRule="atLeast"/>
          <w:tblHeader/>
        </w:trPr>
        <w:tc>
          <w:tcPr>
            <w:tcW w:w="0" w:type="auto"/>
            <w:gridSpan w:val="10"/>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华文中宋" w:hAnsi="华文中宋" w:eastAsia="华文中宋" w:cs="宋体"/>
                <w:color w:val="000000"/>
                <w:kern w:val="0"/>
                <w:sz w:val="32"/>
                <w:szCs w:val="32"/>
                <w:lang w:val="en-US" w:eastAsia="zh-CN" w:bidi="ar-SA"/>
              </w:rPr>
              <w:t>收入决算表</w:t>
            </w:r>
          </w:p>
        </w:tc>
      </w:tr>
      <w:tr>
        <w:tblPrEx>
          <w:tblCellMar>
            <w:top w:w="0" w:type="dxa"/>
            <w:left w:w="108" w:type="dxa"/>
            <w:bottom w:w="0" w:type="dxa"/>
            <w:right w:w="108" w:type="dxa"/>
          </w:tblCellMar>
        </w:tblPrEx>
        <w:trPr>
          <w:trHeight w:val="300" w:hRule="atLeast"/>
          <w:tblHeader/>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公开02表</w:t>
            </w:r>
          </w:p>
        </w:tc>
      </w:tr>
      <w:tr>
        <w:tblPrEx>
          <w:tblCellMar>
            <w:top w:w="0" w:type="dxa"/>
            <w:left w:w="108" w:type="dxa"/>
            <w:bottom w:w="0" w:type="dxa"/>
            <w:right w:w="108" w:type="dxa"/>
          </w:tblCellMar>
        </w:tblPrEx>
        <w:trPr>
          <w:trHeight w:val="300" w:hRule="atLeast"/>
          <w:tblHeader/>
        </w:trPr>
        <w:tc>
          <w:tcPr>
            <w:tcW w:w="0" w:type="auto"/>
            <w:gridSpan w:val="3"/>
            <w:tcBorders>
              <w:top w:val="nil"/>
              <w:left w:val="nil"/>
              <w:bottom w:val="single" w:color="auto"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部门：湖南省食用菌研究所</w:t>
            </w:r>
          </w:p>
        </w:tc>
        <w:tc>
          <w:tcPr>
            <w:tcW w:w="0" w:type="auto"/>
            <w:tcBorders>
              <w:top w:val="nil"/>
              <w:left w:val="nil"/>
              <w:bottom w:val="single" w:color="auto"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auto"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auto"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auto"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single" w:color="auto" w:sz="4" w:space="0"/>
              <w:right w:val="nil"/>
            </w:tcBorders>
            <w:shd w:val="clear" w:color="auto" w:fill="FFFFFF"/>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金额单位：万元</w:t>
            </w:r>
          </w:p>
        </w:tc>
      </w:tr>
      <w:tr>
        <w:trPr>
          <w:trHeight w:val="300" w:hRule="atLeast"/>
          <w:tblHead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项目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本年收入合计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财政拨款收入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上级补助收入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事业收入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经营收入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附属单位上缴收入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其他收入</w:t>
            </w:r>
          </w:p>
        </w:tc>
      </w:tr>
      <w:tr>
        <w:tblPrEx>
          <w:tblCellMar>
            <w:top w:w="0" w:type="dxa"/>
            <w:left w:w="108" w:type="dxa"/>
            <w:bottom w:w="0" w:type="dxa"/>
            <w:right w:w="108" w:type="dxa"/>
          </w:tblCellMar>
        </w:tblPrEx>
        <w:trPr>
          <w:trHeight w:val="300" w:hRule="atLeast"/>
          <w:tblHeader/>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功能分类科目编码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科目名称</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blHeader/>
        </w:trPr>
        <w:tc>
          <w:tcPr>
            <w:tcW w:w="0" w:type="auto"/>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blHeader/>
        </w:trPr>
        <w:tc>
          <w:tcPr>
            <w:tcW w:w="0" w:type="auto"/>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0" w:type="auto"/>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blHead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7</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828.15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767.68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60.47</w:t>
            </w:r>
          </w:p>
        </w:tc>
      </w:tr>
      <w:tr>
        <w:tblPrEx>
          <w:tblCellMar>
            <w:top w:w="0" w:type="dxa"/>
            <w:left w:w="108" w:type="dxa"/>
            <w:bottom w:w="0" w:type="dxa"/>
            <w:right w:w="108" w:type="dxa"/>
          </w:tblCellMar>
        </w:tblPrEx>
        <w:trPr>
          <w:trHeight w:val="30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4.00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4.00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20138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市场监督管理事务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4.00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4.00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r>
      <w:tr>
        <w:tblPrEx>
          <w:tblCellMar>
            <w:top w:w="0" w:type="dxa"/>
            <w:left w:w="108" w:type="dxa"/>
            <w:bottom w:w="0" w:type="dxa"/>
            <w:right w:w="108" w:type="dxa"/>
          </w:tblCellMar>
        </w:tblPrEx>
        <w:trPr>
          <w:trHeight w:val="9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2013810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  质量基础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4.00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4.00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科学技术支出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679.74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619.27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60.47</w:t>
            </w:r>
          </w:p>
        </w:tc>
      </w:tr>
      <w:tr>
        <w:tblPrEx>
          <w:tblCellMar>
            <w:top w:w="0" w:type="dxa"/>
            <w:left w:w="108" w:type="dxa"/>
            <w:bottom w:w="0" w:type="dxa"/>
            <w:right w:w="108" w:type="dxa"/>
          </w:tblCellMar>
        </w:tblPrEx>
        <w:trPr>
          <w:trHeight w:val="300" w:hRule="atLeast"/>
        </w:trPr>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20602</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基础研究</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10.00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10.00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2060203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  自然科学基金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20603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应用研究</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580.82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535.35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45.47</w:t>
            </w: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2060301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  机构运行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573.86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528.39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45.47</w:t>
            </w: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2060399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  其他应用研究支出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6.96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技术研究与开发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6.00</w:t>
            </w: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2060499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  其他技术研究与开发支出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6.00</w:t>
            </w: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20605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科技条件与服务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9.00</w:t>
            </w: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2060599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  其他科技条件与服务支出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9.00</w:t>
            </w: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20607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科学技术普及</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2060702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  科普活动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0.00</w:t>
            </w: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20609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科技重大项目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68.92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68.92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2060902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  重点研发计划</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68.92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68.92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2069901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  科技奖励</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78.08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78.08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78.08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78.08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52.00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52.00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26.08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26.08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color w:val="auto"/>
                <w:shd w:val="clear" w:color="auto" w:fill="auto"/>
              </w:rPr>
            </w:pPr>
            <w:r>
              <w:rPr>
                <w:rFonts w:hint="eastAsia"/>
                <w:color w:val="auto"/>
                <w:shd w:val="clear" w:color="auto" w:fill="auto"/>
                <w:lang w:val="en-US" w:eastAsia="zh-CN"/>
              </w:rPr>
              <w:t>2130109</w:t>
            </w: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color w:val="auto"/>
                <w:shd w:val="clear" w:color="auto" w:fill="auto"/>
              </w:rPr>
            </w:pPr>
            <w:r>
              <w:rPr>
                <w:rFonts w:hint="eastAsia"/>
                <w:color w:val="auto"/>
                <w:shd w:val="clear" w:color="auto" w:fill="auto"/>
                <w:lang w:val="en-US" w:eastAsia="zh-CN"/>
              </w:rPr>
              <w:t xml:space="preserve">  农产品质量安全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color w:val="auto"/>
                <w:shd w:val="clear" w:color="auto" w:fill="auto"/>
              </w:rPr>
            </w:pPr>
            <w:r>
              <w:rPr>
                <w:rFonts w:hint="eastAsia"/>
                <w:color w:val="auto"/>
                <w:shd w:val="clear" w:color="auto" w:fill="auto"/>
                <w:lang w:val="en-US" w:eastAsia="zh-CN"/>
              </w:rPr>
              <w:t>221</w:t>
            </w: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color w:val="auto"/>
                <w:shd w:val="clear" w:color="auto" w:fill="auto"/>
              </w:rPr>
            </w:pPr>
            <w:r>
              <w:rPr>
                <w:rFonts w:hint="eastAsia"/>
                <w:color w:val="auto"/>
                <w:shd w:val="clear" w:color="auto" w:fill="auto"/>
                <w:lang w:val="en-US" w:eastAsia="zh-CN"/>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56.33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56.33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color w:val="auto"/>
                <w:shd w:val="clear" w:color="auto" w:fill="auto"/>
              </w:rPr>
            </w:pPr>
            <w:r>
              <w:rPr>
                <w:rFonts w:hint="eastAsia"/>
                <w:color w:val="auto"/>
                <w:shd w:val="clear" w:color="auto" w:fill="auto"/>
                <w:lang w:val="en-US" w:eastAsia="zh-CN"/>
              </w:rPr>
              <w:t>22102</w:t>
            </w: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color w:val="auto"/>
                <w:shd w:val="clear" w:color="auto" w:fill="auto"/>
              </w:rPr>
            </w:pPr>
            <w:r>
              <w:rPr>
                <w:rFonts w:hint="eastAsia"/>
                <w:color w:val="auto"/>
                <w:shd w:val="clear" w:color="auto" w:fill="auto"/>
                <w:lang w:val="en-US" w:eastAsia="zh-CN"/>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56.33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56.33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47.00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47.00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2210203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  购房补贴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9.33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9.33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shd w:val="clear" w:color="auto" w:fill="auto"/>
              </w:rPr>
            </w:pP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color w:val="auto"/>
          <w:kern w:val="0"/>
          <w:sz w:val="32"/>
          <w:szCs w:val="32"/>
          <w:shd w:val="clear" w:color="auto" w:fill="auto"/>
        </w:rPr>
        <w:br w:type="page"/>
      </w:r>
    </w:p>
    <w:p>
      <w:pPr>
        <w:widowControl/>
        <w:rPr>
          <w:rFonts w:ascii="Times New Roman" w:hAnsi="Times New Roman" w:eastAsia="方正小标宋_GBK" w:cs="Times New Roman"/>
          <w:color w:val="000000"/>
          <w:kern w:val="0"/>
          <w:sz w:val="36"/>
          <w:szCs w:val="36"/>
        </w:rPr>
      </w:pPr>
    </w:p>
    <w:tbl>
      <w:tblPr>
        <w:tblStyle w:val="6"/>
        <w:tblW w:w="14841" w:type="dxa"/>
        <w:tblInd w:w="827" w:type="dxa"/>
        <w:shd w:val="clear" w:color="auto" w:fill="auto"/>
        <w:tblLayout w:type="fixed"/>
        <w:tblCellMar>
          <w:top w:w="0" w:type="dxa"/>
          <w:left w:w="108" w:type="dxa"/>
          <w:bottom w:w="0" w:type="dxa"/>
          <w:right w:w="108" w:type="dxa"/>
        </w:tblCellMar>
      </w:tblPr>
      <w:tblGrid>
        <w:gridCol w:w="1207"/>
        <w:gridCol w:w="1207"/>
        <w:gridCol w:w="148"/>
        <w:gridCol w:w="1819"/>
        <w:gridCol w:w="1797"/>
        <w:gridCol w:w="708"/>
        <w:gridCol w:w="876"/>
        <w:gridCol w:w="479"/>
        <w:gridCol w:w="646"/>
        <w:gridCol w:w="411"/>
        <w:gridCol w:w="1264"/>
        <w:gridCol w:w="1070"/>
        <w:gridCol w:w="821"/>
        <w:gridCol w:w="209"/>
        <w:gridCol w:w="1494"/>
        <w:gridCol w:w="685"/>
      </w:tblGrid>
      <w:tr>
        <w:tblPrEx>
          <w:tblCellMar>
            <w:top w:w="0" w:type="dxa"/>
            <w:left w:w="108" w:type="dxa"/>
            <w:bottom w:w="0" w:type="dxa"/>
            <w:right w:w="108" w:type="dxa"/>
          </w:tblCellMar>
        </w:tblPrEx>
        <w:trPr>
          <w:gridAfter w:val="1"/>
          <w:wAfter w:w="685" w:type="dxa"/>
          <w:trHeight w:val="375" w:hRule="atLeast"/>
          <w:tblHeader/>
        </w:trPr>
        <w:tc>
          <w:tcPr>
            <w:tcW w:w="14156" w:type="dxa"/>
            <w:gridSpan w:val="15"/>
            <w:tcBorders>
              <w:top w:val="nil"/>
              <w:left w:val="nil"/>
              <w:bottom w:val="nil"/>
              <w:right w:val="nil"/>
            </w:tcBorders>
            <w:shd w:val="clear" w:color="auto" w:fill="FFFFFF"/>
            <w:noWrap/>
            <w:vAlign w:val="center"/>
          </w:tcPr>
          <w:p>
            <w:pPr>
              <w:shd w:val="clear"/>
              <w:jc w:val="center"/>
              <w:rPr>
                <w:rFonts w:hint="eastAsia" w:ascii="宋体" w:hAnsi="宋体" w:eastAsia="宋体" w:cs="宋体"/>
                <w:i w:val="0"/>
                <w:iCs w:val="0"/>
                <w:color w:val="000000"/>
                <w:sz w:val="18"/>
                <w:szCs w:val="18"/>
                <w:u w:val="none"/>
              </w:rPr>
            </w:pPr>
            <w:r>
              <w:rPr>
                <w:rFonts w:hint="eastAsia" w:ascii="华文中宋" w:hAnsi="华文中宋" w:eastAsia="华文中宋" w:cs="宋体"/>
                <w:color w:val="000000"/>
                <w:kern w:val="0"/>
                <w:sz w:val="32"/>
                <w:szCs w:val="32"/>
                <w:lang w:val="en-US" w:eastAsia="zh-CN"/>
              </w:rPr>
              <w:t>支出决算表</w:t>
            </w:r>
          </w:p>
        </w:tc>
      </w:tr>
      <w:tr>
        <w:tblPrEx>
          <w:tblCellMar>
            <w:top w:w="0" w:type="dxa"/>
            <w:left w:w="108" w:type="dxa"/>
            <w:bottom w:w="0" w:type="dxa"/>
            <w:right w:w="108" w:type="dxa"/>
          </w:tblCellMar>
        </w:tblPrEx>
        <w:trPr>
          <w:trHeight w:val="300" w:hRule="atLeast"/>
          <w:tblHeader/>
        </w:trPr>
        <w:tc>
          <w:tcPr>
            <w:tcW w:w="1207" w:type="dxa"/>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18"/>
                <w:szCs w:val="18"/>
                <w:u w:val="none"/>
              </w:rPr>
            </w:pPr>
          </w:p>
        </w:tc>
        <w:tc>
          <w:tcPr>
            <w:tcW w:w="1207" w:type="dxa"/>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18"/>
                <w:szCs w:val="18"/>
                <w:u w:val="none"/>
              </w:rPr>
            </w:pPr>
          </w:p>
        </w:tc>
        <w:tc>
          <w:tcPr>
            <w:tcW w:w="1967" w:type="dxa"/>
            <w:gridSpan w:val="2"/>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18"/>
                <w:szCs w:val="18"/>
                <w:u w:val="none"/>
              </w:rPr>
            </w:pPr>
          </w:p>
        </w:tc>
        <w:tc>
          <w:tcPr>
            <w:tcW w:w="2505" w:type="dxa"/>
            <w:gridSpan w:val="2"/>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18"/>
                <w:szCs w:val="18"/>
                <w:u w:val="none"/>
              </w:rPr>
            </w:pPr>
          </w:p>
        </w:tc>
        <w:tc>
          <w:tcPr>
            <w:tcW w:w="1355" w:type="dxa"/>
            <w:gridSpan w:val="2"/>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18"/>
                <w:szCs w:val="18"/>
                <w:u w:val="none"/>
              </w:rPr>
            </w:pPr>
          </w:p>
        </w:tc>
        <w:tc>
          <w:tcPr>
            <w:tcW w:w="1057" w:type="dxa"/>
            <w:gridSpan w:val="2"/>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18"/>
                <w:szCs w:val="18"/>
                <w:u w:val="none"/>
              </w:rPr>
            </w:pPr>
          </w:p>
        </w:tc>
        <w:tc>
          <w:tcPr>
            <w:tcW w:w="1264" w:type="dxa"/>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18"/>
                <w:szCs w:val="18"/>
                <w:u w:val="none"/>
              </w:rPr>
            </w:pPr>
          </w:p>
        </w:tc>
        <w:tc>
          <w:tcPr>
            <w:tcW w:w="1070" w:type="dxa"/>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18"/>
                <w:szCs w:val="18"/>
                <w:u w:val="none"/>
              </w:rPr>
            </w:pPr>
          </w:p>
        </w:tc>
        <w:tc>
          <w:tcPr>
            <w:tcW w:w="821" w:type="dxa"/>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18"/>
                <w:szCs w:val="18"/>
                <w:u w:val="none"/>
              </w:rPr>
            </w:pPr>
          </w:p>
        </w:tc>
        <w:tc>
          <w:tcPr>
            <w:tcW w:w="2388" w:type="dxa"/>
            <w:gridSpan w:val="3"/>
            <w:tcBorders>
              <w:top w:val="nil"/>
              <w:left w:val="nil"/>
              <w:bottom w:val="nil"/>
              <w:right w:val="nil"/>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CellMar>
            <w:top w:w="0" w:type="dxa"/>
            <w:left w:w="108" w:type="dxa"/>
            <w:bottom w:w="0" w:type="dxa"/>
            <w:right w:w="108" w:type="dxa"/>
          </w:tblCellMar>
        </w:tblPrEx>
        <w:trPr>
          <w:gridAfter w:val="1"/>
          <w:wAfter w:w="685" w:type="dxa"/>
          <w:trHeight w:val="300" w:hRule="atLeast"/>
          <w:tblHeader/>
        </w:trPr>
        <w:tc>
          <w:tcPr>
            <w:tcW w:w="6178" w:type="dxa"/>
            <w:gridSpan w:val="5"/>
            <w:tcBorders>
              <w:top w:val="nil"/>
              <w:left w:val="nil"/>
              <w:bottom w:val="single" w:color="auto" w:sz="4" w:space="0"/>
              <w:right w:val="nil"/>
            </w:tcBorders>
            <w:shd w:val="clear" w:color="auto" w:fill="auto"/>
            <w:noWrap/>
            <w:vAlign w:val="center"/>
          </w:tcPr>
          <w:p>
            <w:pPr>
              <w:shd w:val="clea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部门：湖南省食用菌研究所</w:t>
            </w:r>
          </w:p>
        </w:tc>
        <w:tc>
          <w:tcPr>
            <w:tcW w:w="1584"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p>
        </w:tc>
        <w:tc>
          <w:tcPr>
            <w:tcW w:w="1125" w:type="dxa"/>
            <w:gridSpan w:val="2"/>
            <w:tcBorders>
              <w:top w:val="nil"/>
              <w:left w:val="nil"/>
              <w:bottom w:val="single" w:color="auto" w:sz="4" w:space="0"/>
              <w:right w:val="nil"/>
            </w:tcBorders>
            <w:shd w:val="clear" w:color="auto" w:fill="auto"/>
            <w:noWrap/>
            <w:vAlign w:val="center"/>
          </w:tcPr>
          <w:p>
            <w:pPr>
              <w:shd w:val="clear"/>
              <w:jc w:val="left"/>
              <w:rPr>
                <w:rFonts w:hint="eastAsia" w:ascii="宋体" w:hAnsi="宋体" w:eastAsia="宋体" w:cs="宋体"/>
                <w:i w:val="0"/>
                <w:iCs w:val="0"/>
                <w:color w:val="000000"/>
                <w:sz w:val="18"/>
                <w:szCs w:val="18"/>
                <w:u w:val="none"/>
              </w:rPr>
            </w:pPr>
          </w:p>
        </w:tc>
        <w:tc>
          <w:tcPr>
            <w:tcW w:w="1675" w:type="dxa"/>
            <w:gridSpan w:val="2"/>
            <w:tcBorders>
              <w:top w:val="nil"/>
              <w:left w:val="nil"/>
              <w:bottom w:val="single" w:color="auto" w:sz="4" w:space="0"/>
              <w:right w:val="nil"/>
            </w:tcBorders>
            <w:shd w:val="clear" w:color="auto" w:fill="auto"/>
            <w:noWrap/>
            <w:vAlign w:val="center"/>
          </w:tcPr>
          <w:p>
            <w:pPr>
              <w:shd w:val="clear"/>
              <w:jc w:val="left"/>
              <w:rPr>
                <w:rFonts w:hint="eastAsia" w:ascii="宋体" w:hAnsi="宋体" w:eastAsia="宋体" w:cs="宋体"/>
                <w:i w:val="0"/>
                <w:iCs w:val="0"/>
                <w:color w:val="000000"/>
                <w:sz w:val="18"/>
                <w:szCs w:val="18"/>
                <w:u w:val="none"/>
              </w:rPr>
            </w:pPr>
          </w:p>
        </w:tc>
        <w:tc>
          <w:tcPr>
            <w:tcW w:w="1070" w:type="dxa"/>
            <w:tcBorders>
              <w:top w:val="nil"/>
              <w:left w:val="nil"/>
              <w:bottom w:val="single" w:color="auto" w:sz="4" w:space="0"/>
              <w:right w:val="nil"/>
            </w:tcBorders>
            <w:shd w:val="clear" w:color="auto" w:fill="auto"/>
            <w:noWrap/>
            <w:vAlign w:val="center"/>
          </w:tcPr>
          <w:p>
            <w:pPr>
              <w:shd w:val="clear"/>
              <w:jc w:val="left"/>
              <w:rPr>
                <w:rFonts w:hint="eastAsia" w:ascii="宋体" w:hAnsi="宋体" w:eastAsia="宋体" w:cs="宋体"/>
                <w:i w:val="0"/>
                <w:iCs w:val="0"/>
                <w:color w:val="000000"/>
                <w:sz w:val="18"/>
                <w:szCs w:val="18"/>
                <w:u w:val="none"/>
              </w:rPr>
            </w:pPr>
          </w:p>
        </w:tc>
        <w:tc>
          <w:tcPr>
            <w:tcW w:w="2524"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rPr>
          <w:gridAfter w:val="1"/>
          <w:wAfter w:w="685" w:type="dxa"/>
          <w:trHeight w:val="300" w:hRule="atLeast"/>
          <w:tblHeader/>
        </w:trPr>
        <w:tc>
          <w:tcPr>
            <w:tcW w:w="617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12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7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0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03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4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CellMar>
            <w:top w:w="0" w:type="dxa"/>
            <w:left w:w="108" w:type="dxa"/>
            <w:bottom w:w="0" w:type="dxa"/>
            <w:right w:w="108" w:type="dxa"/>
          </w:tblCellMar>
        </w:tblPrEx>
        <w:trPr>
          <w:gridAfter w:val="1"/>
          <w:wAfter w:w="685" w:type="dxa"/>
          <w:trHeight w:val="300" w:hRule="atLeast"/>
          <w:tblHeader/>
        </w:trPr>
        <w:tc>
          <w:tcPr>
            <w:tcW w:w="256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61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8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12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6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0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03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blHeader/>
        </w:trPr>
        <w:tc>
          <w:tcPr>
            <w:tcW w:w="2562" w:type="dxa"/>
            <w:gridSpan w:val="3"/>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3616" w:type="dxa"/>
            <w:gridSpan w:val="2"/>
            <w:vMerge w:val="continue"/>
            <w:tcBorders>
              <w:top w:val="single" w:color="auto" w:sz="4" w:space="0"/>
              <w:left w:val="nil"/>
              <w:bottom w:val="single" w:color="auto"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u w:val="none"/>
              </w:rPr>
            </w:pPr>
          </w:p>
        </w:tc>
        <w:tc>
          <w:tcPr>
            <w:tcW w:w="1584" w:type="dxa"/>
            <w:gridSpan w:val="2"/>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125" w:type="dxa"/>
            <w:gridSpan w:val="2"/>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675" w:type="dxa"/>
            <w:gridSpan w:val="2"/>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070" w:type="dxa"/>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030" w:type="dxa"/>
            <w:gridSpan w:val="2"/>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494" w:type="dxa"/>
            <w:vMerge w:val="continue"/>
            <w:tcBorders>
              <w:top w:val="single" w:color="auto" w:sz="4" w:space="0"/>
              <w:left w:val="nil"/>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blHeader/>
        </w:trPr>
        <w:tc>
          <w:tcPr>
            <w:tcW w:w="2562" w:type="dxa"/>
            <w:gridSpan w:val="3"/>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3616" w:type="dxa"/>
            <w:gridSpan w:val="2"/>
            <w:vMerge w:val="continue"/>
            <w:tcBorders>
              <w:top w:val="single" w:color="auto" w:sz="4" w:space="0"/>
              <w:left w:val="nil"/>
              <w:bottom w:val="single" w:color="auto"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u w:val="none"/>
              </w:rPr>
            </w:pPr>
          </w:p>
        </w:tc>
        <w:tc>
          <w:tcPr>
            <w:tcW w:w="1584" w:type="dxa"/>
            <w:gridSpan w:val="2"/>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125" w:type="dxa"/>
            <w:gridSpan w:val="2"/>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675" w:type="dxa"/>
            <w:gridSpan w:val="2"/>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070" w:type="dxa"/>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030" w:type="dxa"/>
            <w:gridSpan w:val="2"/>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c>
          <w:tcPr>
            <w:tcW w:w="1494" w:type="dxa"/>
            <w:vMerge w:val="continue"/>
            <w:tcBorders>
              <w:top w:val="single" w:color="auto" w:sz="4" w:space="0"/>
              <w:left w:val="nil"/>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sz w:val="20"/>
                <w:szCs w:val="20"/>
                <w:u w:val="none"/>
              </w:rPr>
            </w:pPr>
          </w:p>
        </w:tc>
      </w:tr>
      <w:tr>
        <w:trPr>
          <w:gridAfter w:val="1"/>
          <w:wAfter w:w="685" w:type="dxa"/>
          <w:trHeight w:val="300" w:hRule="atLeast"/>
          <w:tblHeader/>
        </w:trPr>
        <w:tc>
          <w:tcPr>
            <w:tcW w:w="6178" w:type="dxa"/>
            <w:gridSpan w:val="5"/>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84"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5"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30"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9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gridAfter w:val="1"/>
          <w:wAfter w:w="685" w:type="dxa"/>
          <w:trHeight w:val="300" w:hRule="atLeast"/>
        </w:trPr>
        <w:tc>
          <w:tcPr>
            <w:tcW w:w="617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762.71</w:t>
            </w:r>
          </w:p>
        </w:tc>
        <w:tc>
          <w:tcPr>
            <w:tcW w:w="11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653.32</w:t>
            </w: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109.39</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5.81</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5.81</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20138</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市场监督管理事务</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5.81</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5.81</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2013810</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质量基础</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2013899</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其他市场监督管理事务</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604.28</w:t>
            </w:r>
          </w:p>
        </w:tc>
        <w:tc>
          <w:tcPr>
            <w:tcW w:w="11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518.91</w:t>
            </w: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85.38</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20602</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基础研究</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8.66</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8.66</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2060203</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自然科学基金</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20603</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应用研究</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525.87</w:t>
            </w:r>
          </w:p>
        </w:tc>
        <w:tc>
          <w:tcPr>
            <w:tcW w:w="11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518.91</w:t>
            </w: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6.96</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2060301</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518.91</w:t>
            </w:r>
          </w:p>
        </w:tc>
        <w:tc>
          <w:tcPr>
            <w:tcW w:w="11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518.91</w:t>
            </w:r>
          </w:p>
        </w:tc>
        <w:tc>
          <w:tcPr>
            <w:tcW w:w="167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2060399</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其他应用研究支出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20604</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技术研究与开发</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25.85</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25.85</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2060499</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25.85</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25.85</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20605</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科技条件与服务</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8.18</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8.18</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2060599</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其他科技条件与服务支出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20607</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科学技术普及</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2.77</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2.77</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2060702</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20609</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科技重大项目</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17.95</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17.95</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2060902</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重点研发计划</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17.95</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17.95</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20699</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其他科学技术支出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15.00</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15.00</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2069901</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科技奖励</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2069999</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78.08</w:t>
            </w:r>
          </w:p>
        </w:tc>
        <w:tc>
          <w:tcPr>
            <w:tcW w:w="11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78.08</w:t>
            </w:r>
          </w:p>
        </w:tc>
        <w:tc>
          <w:tcPr>
            <w:tcW w:w="167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78.08</w:t>
            </w:r>
          </w:p>
        </w:tc>
        <w:tc>
          <w:tcPr>
            <w:tcW w:w="11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78.08</w:t>
            </w:r>
          </w:p>
        </w:tc>
        <w:tc>
          <w:tcPr>
            <w:tcW w:w="167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11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167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26.08</w:t>
            </w:r>
          </w:p>
        </w:tc>
        <w:tc>
          <w:tcPr>
            <w:tcW w:w="11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26.08</w:t>
            </w:r>
          </w:p>
        </w:tc>
        <w:tc>
          <w:tcPr>
            <w:tcW w:w="167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农林水支出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18.20</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18.20</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21301</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农业农村</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18.20</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18.20</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2130109</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农产品质量安全</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18.20</w:t>
            </w:r>
          </w:p>
        </w:tc>
        <w:tc>
          <w:tcPr>
            <w:tcW w:w="112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67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18.20</w:t>
            </w: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56.33</w:t>
            </w:r>
          </w:p>
        </w:tc>
        <w:tc>
          <w:tcPr>
            <w:tcW w:w="11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56.33</w:t>
            </w:r>
          </w:p>
        </w:tc>
        <w:tc>
          <w:tcPr>
            <w:tcW w:w="167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56.33</w:t>
            </w:r>
          </w:p>
        </w:tc>
        <w:tc>
          <w:tcPr>
            <w:tcW w:w="11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56.33</w:t>
            </w:r>
          </w:p>
        </w:tc>
        <w:tc>
          <w:tcPr>
            <w:tcW w:w="167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u w:val="none"/>
              </w:rPr>
            </w:pPr>
          </w:p>
        </w:tc>
      </w:tr>
      <w:tr>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w:t>
            </w:r>
          </w:p>
        </w:tc>
        <w:tc>
          <w:tcPr>
            <w:tcW w:w="11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w:t>
            </w:r>
          </w:p>
        </w:tc>
        <w:tc>
          <w:tcPr>
            <w:tcW w:w="167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256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2210203</w:t>
            </w:r>
          </w:p>
        </w:tc>
        <w:tc>
          <w:tcPr>
            <w:tcW w:w="3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158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11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1675"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70"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030" w:type="dxa"/>
            <w:gridSpan w:val="2"/>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149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685" w:type="dxa"/>
          <w:trHeight w:val="300" w:hRule="atLeast"/>
        </w:trPr>
        <w:tc>
          <w:tcPr>
            <w:tcW w:w="14156" w:type="dxa"/>
            <w:gridSpan w:val="15"/>
            <w:tcBorders>
              <w:top w:val="nil"/>
              <w:left w:val="nil"/>
              <w:bottom w:val="nil"/>
              <w:right w:val="nil"/>
            </w:tcBorders>
            <w:shd w:val="clear" w:color="auto" w:fill="FFFFFF"/>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r>
        <w:tblPrEx>
          <w:tblCellMar>
            <w:top w:w="0" w:type="dxa"/>
            <w:left w:w="108" w:type="dxa"/>
            <w:bottom w:w="0" w:type="dxa"/>
            <w:right w:w="108" w:type="dxa"/>
          </w:tblCellMar>
        </w:tblPrEx>
        <w:trPr>
          <w:trHeight w:val="255" w:hRule="atLeast"/>
        </w:trPr>
        <w:tc>
          <w:tcPr>
            <w:tcW w:w="1207" w:type="dxa"/>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120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967" w:type="dxa"/>
            <w:gridSpan w:val="2"/>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505" w:type="dxa"/>
            <w:gridSpan w:val="2"/>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55" w:type="dxa"/>
            <w:gridSpan w:val="2"/>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057" w:type="dxa"/>
            <w:gridSpan w:val="2"/>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6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070"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821"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388" w:type="dxa"/>
            <w:gridSpan w:val="3"/>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r>
    </w:tbl>
    <w:p>
      <w:pPr>
        <w:widowControl/>
        <w:shd w:val="clear"/>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shd w:val="clear" w:fill="FFFFFF" w:themeFill="background1"/>
        <w:jc w:val="left"/>
        <w:rPr>
          <w:rFonts w:ascii="Times New Roman" w:hAnsi="Times New Roman" w:eastAsia="仿宋_GB2312" w:cs="Times New Roman"/>
          <w:bCs/>
          <w:kern w:val="0"/>
          <w:szCs w:val="21"/>
        </w:rPr>
      </w:pPr>
      <w:bookmarkStart w:id="0" w:name="RANGE!A1:I22"/>
      <w:bookmarkEnd w:id="0"/>
      <w:r>
        <w:rPr>
          <w:rFonts w:ascii="Times New Roman" w:hAnsi="Times New Roman" w:eastAsia="仿宋_GB2312" w:cs="Times New Roman"/>
          <w:bCs/>
          <w:kern w:val="0"/>
          <w:szCs w:val="21"/>
        </w:rPr>
        <w:br w:type="page"/>
      </w:r>
    </w:p>
    <w:tbl>
      <w:tblPr>
        <w:tblStyle w:val="6"/>
        <w:tblW w:w="13453" w:type="dxa"/>
        <w:tblInd w:w="814" w:type="dxa"/>
        <w:shd w:val="clear" w:color="auto" w:fill="auto"/>
        <w:tblLayout w:type="autofit"/>
        <w:tblCellMar>
          <w:top w:w="0" w:type="dxa"/>
          <w:left w:w="108" w:type="dxa"/>
          <w:bottom w:w="0" w:type="dxa"/>
          <w:right w:w="108" w:type="dxa"/>
        </w:tblCellMar>
      </w:tblPr>
      <w:tblGrid>
        <w:gridCol w:w="2657"/>
        <w:gridCol w:w="263"/>
        <w:gridCol w:w="263"/>
        <w:gridCol w:w="4276"/>
        <w:gridCol w:w="1814"/>
        <w:gridCol w:w="1814"/>
        <w:gridCol w:w="2366"/>
      </w:tblGrid>
      <w:tr>
        <w:tblPrEx>
          <w:tblCellMar>
            <w:top w:w="0" w:type="dxa"/>
            <w:left w:w="108" w:type="dxa"/>
            <w:bottom w:w="0" w:type="dxa"/>
            <w:right w:w="108" w:type="dxa"/>
          </w:tblCellMar>
        </w:tblPrEx>
        <w:trPr>
          <w:trHeight w:val="375" w:hRule="atLeast"/>
          <w:tblHeader/>
        </w:trPr>
        <w:tc>
          <w:tcPr>
            <w:tcW w:w="13453" w:type="dxa"/>
            <w:gridSpan w:val="7"/>
            <w:tcBorders>
              <w:top w:val="nil"/>
              <w:left w:val="nil"/>
              <w:bottom w:val="nil"/>
              <w:right w:val="nil"/>
            </w:tcBorders>
            <w:shd w:val="clear" w:color="auto" w:fill="FFFFFF"/>
            <w:noWrap/>
            <w:vAlign w:val="center"/>
          </w:tcPr>
          <w:p>
            <w:pPr>
              <w:jc w:val="center"/>
              <w:rPr>
                <w:rFonts w:hint="eastAsia" w:ascii="黑体" w:hAnsi="宋体" w:eastAsia="黑体" w:cs="黑体"/>
                <w:i w:val="0"/>
                <w:iCs w:val="0"/>
                <w:color w:val="000000"/>
                <w:kern w:val="0"/>
                <w:sz w:val="30"/>
                <w:szCs w:val="30"/>
                <w:u w:val="none"/>
                <w:lang w:val="en-US" w:eastAsia="zh-CN" w:bidi="ar"/>
              </w:rPr>
            </w:pPr>
          </w:p>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tblCellMar>
            <w:top w:w="0" w:type="dxa"/>
            <w:left w:w="108" w:type="dxa"/>
            <w:bottom w:w="0" w:type="dxa"/>
            <w:right w:w="108" w:type="dxa"/>
          </w:tblCellMar>
        </w:tblPrEx>
        <w:trPr>
          <w:trHeight w:val="300" w:hRule="atLeast"/>
          <w:tblHeader/>
        </w:trPr>
        <w:tc>
          <w:tcPr>
            <w:tcW w:w="265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6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6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27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1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1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66"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CellMar>
            <w:top w:w="0" w:type="dxa"/>
            <w:left w:w="108" w:type="dxa"/>
            <w:bottom w:w="0" w:type="dxa"/>
            <w:right w:w="108" w:type="dxa"/>
          </w:tblCellMar>
        </w:tblPrEx>
        <w:trPr>
          <w:trHeight w:val="300" w:hRule="atLeast"/>
          <w:tblHeader/>
        </w:trPr>
        <w:tc>
          <w:tcPr>
            <w:tcW w:w="3183" w:type="dxa"/>
            <w:gridSpan w:val="3"/>
            <w:tcBorders>
              <w:top w:val="nil"/>
              <w:left w:val="nil"/>
              <w:bottom w:val="single" w:color="auto"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部门：湖南省食用菌研究所</w:t>
            </w:r>
          </w:p>
        </w:tc>
        <w:tc>
          <w:tcPr>
            <w:tcW w:w="4276" w:type="dxa"/>
            <w:tcBorders>
              <w:top w:val="nil"/>
              <w:left w:val="nil"/>
              <w:bottom w:val="single" w:color="auto"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14" w:type="dxa"/>
            <w:tcBorders>
              <w:top w:val="nil"/>
              <w:left w:val="nil"/>
              <w:bottom w:val="single" w:color="auto"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14" w:type="dxa"/>
            <w:tcBorders>
              <w:top w:val="nil"/>
              <w:left w:val="nil"/>
              <w:bottom w:val="single" w:color="auto"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66" w:type="dxa"/>
            <w:tcBorders>
              <w:top w:val="nil"/>
              <w:left w:val="nil"/>
              <w:bottom w:val="single" w:color="auto"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300" w:hRule="atLeast"/>
          <w:tblHeader/>
        </w:trPr>
        <w:tc>
          <w:tcPr>
            <w:tcW w:w="745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9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CellMar>
            <w:top w:w="0" w:type="dxa"/>
            <w:left w:w="108" w:type="dxa"/>
            <w:bottom w:w="0" w:type="dxa"/>
            <w:right w:w="108" w:type="dxa"/>
          </w:tblCellMar>
        </w:tblPrEx>
        <w:trPr>
          <w:trHeight w:val="300" w:hRule="atLeast"/>
          <w:tblHeader/>
        </w:trPr>
        <w:tc>
          <w:tcPr>
            <w:tcW w:w="318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4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3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270" w:hRule="atLeast"/>
          <w:tblHeader/>
        </w:trPr>
        <w:tc>
          <w:tcPr>
            <w:tcW w:w="3183" w:type="dxa"/>
            <w:gridSpan w:val="3"/>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76" w:type="dxa"/>
            <w:vMerge w:val="continue"/>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4"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4"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66"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blHeader/>
        </w:trPr>
        <w:tc>
          <w:tcPr>
            <w:tcW w:w="3183" w:type="dxa"/>
            <w:gridSpan w:val="3"/>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76" w:type="dxa"/>
            <w:vMerge w:val="continue"/>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4"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4"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66"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blHeader/>
        </w:trPr>
        <w:tc>
          <w:tcPr>
            <w:tcW w:w="7459"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81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1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300" w:hRule="atLeast"/>
        </w:trPr>
        <w:tc>
          <w:tcPr>
            <w:tcW w:w="7459"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709.13</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633.77</w:t>
            </w: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75.36</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5.81</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5.81</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20138</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市场监督管理事务</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5.81</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5.81</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2013810</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质量基础</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2013899</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其他市场监督管理事务</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550.70</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499.36</w:t>
            </w: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51.35</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20602</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基础研究</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8.66</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8.66</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2060203</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自然科学基金</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20603</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应用研究</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506.32</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499.36</w:t>
            </w: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6.96</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2060301</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499.36</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499.36</w:t>
            </w:r>
          </w:p>
        </w:tc>
        <w:tc>
          <w:tcPr>
            <w:tcW w:w="23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2060399</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其他应用研究支出</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20607</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科学技术普及</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2.77</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2.77</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2060702</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20609</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科技重大项目</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17.95</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17.95</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2060902</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重点研发计划</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17.95</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17.95</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20699</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其他科学技术支出</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15.00</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15.00</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2069901</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科技奖励</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2069999</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78.08</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78.08</w:t>
            </w:r>
          </w:p>
        </w:tc>
        <w:tc>
          <w:tcPr>
            <w:tcW w:w="23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78.08</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78.08</w:t>
            </w:r>
          </w:p>
        </w:tc>
        <w:tc>
          <w:tcPr>
            <w:tcW w:w="23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23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26.08</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26.08</w:t>
            </w:r>
          </w:p>
        </w:tc>
        <w:tc>
          <w:tcPr>
            <w:tcW w:w="23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农林水支出</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18.20</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18.20</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21301</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农业农村</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18.20</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18.20</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2130109</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农产品质量安全</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18.20</w:t>
            </w:r>
          </w:p>
        </w:tc>
        <w:tc>
          <w:tcPr>
            <w:tcW w:w="18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18.20</w:t>
            </w: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56.33</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56.33</w:t>
            </w:r>
          </w:p>
        </w:tc>
        <w:tc>
          <w:tcPr>
            <w:tcW w:w="23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56.33</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56.33</w:t>
            </w:r>
          </w:p>
        </w:tc>
        <w:tc>
          <w:tcPr>
            <w:tcW w:w="23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w:t>
            </w:r>
          </w:p>
        </w:tc>
        <w:tc>
          <w:tcPr>
            <w:tcW w:w="23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18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2210203</w:t>
            </w:r>
          </w:p>
        </w:tc>
        <w:tc>
          <w:tcPr>
            <w:tcW w:w="42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23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3453"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r>
        <w:tblPrEx>
          <w:tblCellMar>
            <w:top w:w="0" w:type="dxa"/>
            <w:left w:w="108" w:type="dxa"/>
            <w:bottom w:w="0" w:type="dxa"/>
            <w:right w:w="108" w:type="dxa"/>
          </w:tblCellMar>
        </w:tblPrEx>
        <w:trPr>
          <w:trHeight w:val="300" w:hRule="atLeast"/>
        </w:trPr>
        <w:tc>
          <w:tcPr>
            <w:tcW w:w="13453"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pPr>
        <w:bidi w:val="0"/>
        <w:jc w:val="left"/>
        <w:rPr>
          <w:rFonts w:asciiTheme="minorHAnsi" w:hAnsiTheme="minorHAnsi" w:eastAsiaTheme="minorEastAsia" w:cstheme="minorBidi"/>
          <w:kern w:val="2"/>
          <w:sz w:val="21"/>
          <w:szCs w:val="22"/>
          <w:lang w:val="en-US" w:eastAsia="zh-CN" w:bidi="ar-SA"/>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6"/>
        <w:tblW w:w="0" w:type="auto"/>
        <w:tblInd w:w="0" w:type="dxa"/>
        <w:tblLayout w:type="autofit"/>
        <w:tblCellMar>
          <w:top w:w="0" w:type="dxa"/>
          <w:left w:w="108" w:type="dxa"/>
          <w:bottom w:w="0" w:type="dxa"/>
          <w:right w:w="108" w:type="dxa"/>
        </w:tblCellMar>
      </w:tblPr>
      <w:tblGrid>
        <w:gridCol w:w="1006"/>
        <w:gridCol w:w="3363"/>
        <w:gridCol w:w="1004"/>
        <w:gridCol w:w="1015"/>
        <w:gridCol w:w="2315"/>
        <w:gridCol w:w="846"/>
        <w:gridCol w:w="1015"/>
        <w:gridCol w:w="4204"/>
        <w:gridCol w:w="84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shd w:val="clear" w:fill="FFFFFF" w:themeFill="background1"/>
              <w:jc w:val="center"/>
              <w:rPr>
                <w:rFonts w:hint="eastAsia" w:ascii="Times New Roman" w:hAnsi="Times New Roman" w:eastAsia="方正小标宋_GBK" w:cs="Times New Roman"/>
                <w:kern w:val="0"/>
                <w:sz w:val="32"/>
                <w:szCs w:val="32"/>
                <w:lang w:val="en-US" w:eastAsia="zh-CN" w:bidi="ar-SA"/>
              </w:rPr>
            </w:pPr>
            <w:bookmarkStart w:id="1" w:name="RANGE!A1:I34"/>
            <w:r>
              <w:rPr>
                <w:rFonts w:hint="eastAsia" w:ascii="Times New Roman" w:hAnsi="Times New Roman" w:eastAsia="方正小标宋_GBK" w:cs="Times New Roman"/>
                <w:kern w:val="0"/>
                <w:sz w:val="32"/>
                <w:szCs w:val="32"/>
                <w:lang w:val="en-US" w:eastAsia="zh-CN" w:bidi="ar-SA"/>
              </w:rPr>
              <w:t>一般公共预算财政拨款基本支出决算表</w:t>
            </w:r>
            <w:bookmarkEnd w:id="1"/>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lef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 xml:space="preserve"> </w:t>
            </w:r>
            <w:r>
              <w:rPr>
                <w:rFonts w:hint="eastAsia" w:asciiTheme="minorEastAsia" w:hAnsiTheme="minorEastAsia" w:eastAsiaTheme="minorEastAsia" w:cstheme="minorEastAsia"/>
                <w:color w:val="000000"/>
                <w:kern w:val="0"/>
                <w:sz w:val="20"/>
                <w:szCs w:val="20"/>
              </w:rPr>
              <w:t xml:space="preserve">部门： </w:t>
            </w:r>
            <w:r>
              <w:rPr>
                <w:rFonts w:hint="eastAsia" w:asciiTheme="minorEastAsia" w:hAnsiTheme="minorEastAsia" w:eastAsiaTheme="minorEastAsia" w:cstheme="minorEastAsia"/>
                <w:color w:val="000000"/>
                <w:kern w:val="0"/>
                <w:sz w:val="20"/>
                <w:szCs w:val="20"/>
                <w:lang w:val="en-US" w:eastAsia="zh-CN"/>
              </w:rPr>
              <w:t>湖南省食用菌研究所</w:t>
            </w:r>
            <w:r>
              <w:rPr>
                <w:rFonts w:hint="eastAsia" w:asciiTheme="minorEastAsia" w:hAnsiTheme="minorEastAsia" w:eastAsiaTheme="minorEastAsia" w:cstheme="minorEastAsia"/>
                <w:color w:val="000000"/>
                <w:kern w:val="0"/>
                <w:sz w:val="20"/>
                <w:szCs w:val="20"/>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trPr>
          <w:trHeight w:val="11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506.03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70.40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7"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133.92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4.93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41.98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1.40</w:t>
            </w: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139.47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1.40</w:t>
            </w: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43.89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8.43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21.33</w:t>
            </w:r>
          </w:p>
          <w:p>
            <w:pPr>
              <w:widowControl/>
              <w:jc w:val="center"/>
              <w:rPr>
                <w:rFonts w:hint="default" w:ascii="宋体" w:hAnsi="宋体" w:eastAsia="宋体" w:cs="宋体"/>
                <w:color w:val="000000"/>
                <w:kern w:val="0"/>
                <w:szCs w:val="20"/>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6.96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49.36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29.91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55.94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35.41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13.50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rPr>
          <w:trHeight w:val="284"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561.97</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71.8</w:t>
            </w:r>
          </w:p>
        </w:tc>
      </w:tr>
      <w:tr>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湖南省食用菌研究所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bl>
    <w:p>
      <w:pPr>
        <w:widowControl/>
        <w:jc w:val="left"/>
        <w:rPr>
          <w:rFonts w:hint="eastAsia"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宋体" w:eastAsia="宋体" w:cs="宋体"/>
          <w:kern w:val="0"/>
          <w:sz w:val="24"/>
          <w:szCs w:val="24"/>
        </w:rPr>
      </w:pPr>
      <w:r>
        <w:rPr>
          <w:rFonts w:hint="eastAsia" w:ascii="宋体" w:eastAsia="宋体" w:cs="宋体"/>
          <w:kern w:val="0"/>
          <w:sz w:val="24"/>
          <w:szCs w:val="24"/>
        </w:rPr>
        <w:t>(说明：</w:t>
      </w:r>
      <w:r>
        <w:rPr>
          <w:rFonts w:hint="eastAsia" w:ascii="宋体" w:eastAsia="宋体" w:cs="宋体"/>
          <w:kern w:val="0"/>
          <w:sz w:val="24"/>
          <w:szCs w:val="24"/>
          <w:lang w:val="en-US" w:eastAsia="zh-CN"/>
        </w:rPr>
        <w:t>湖南省食用菌研究所车辆处于待处置状态，本年未发生支出；2020年年中公务接待费预算数核减至0，本年未使用财政资金安排公务接待费，</w:t>
      </w:r>
      <w:r>
        <w:rPr>
          <w:rFonts w:hint="eastAsia" w:ascii="宋体" w:eastAsia="宋体" w:cs="宋体"/>
          <w:kern w:val="0"/>
          <w:sz w:val="24"/>
          <w:szCs w:val="24"/>
        </w:rPr>
        <w:t>故本表无数据)。</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630" w:firstLineChars="300"/>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注：本表反映部门本年度政府性基金预算财政拨款收入、支出及结转和结余情况</w:t>
      </w:r>
      <w:r>
        <w:rPr>
          <w:rFonts w:hint="eastAsia" w:ascii="Times New Roman" w:hAnsi="Times New Roman" w:eastAsia="仿宋_GB2312" w:cs="Times New Roman"/>
          <w:kern w:val="0"/>
          <w:szCs w:val="21"/>
          <w:lang w:eastAsia="zh-CN"/>
        </w:rPr>
        <w:t>。</w:t>
      </w:r>
    </w:p>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val="en-US" w:eastAsia="zh-CN"/>
        </w:rPr>
        <w:t>湖南省食用菌研究所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湖南省食用菌研究所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(说明：</w:t>
            </w:r>
            <w:r>
              <w:rPr>
                <w:rFonts w:hint="eastAsia" w:ascii="宋体" w:hAnsi="宋体" w:eastAsia="宋体" w:cs="宋体"/>
                <w:kern w:val="0"/>
                <w:sz w:val="24"/>
                <w:szCs w:val="24"/>
                <w:lang w:val="en-US" w:eastAsia="zh-CN"/>
              </w:rPr>
              <w:t>湖南省食用菌研究所</w:t>
            </w:r>
            <w:r>
              <w:rPr>
                <w:rFonts w:hint="eastAsia" w:ascii="宋体" w:hAnsi="宋体" w:eastAsia="宋体" w:cs="宋体"/>
                <w:kern w:val="0"/>
                <w:sz w:val="24"/>
                <w:szCs w:val="24"/>
              </w:rPr>
              <w:t>没有</w:t>
            </w:r>
            <w:r>
              <w:rPr>
                <w:rFonts w:hint="eastAsia" w:ascii="宋体" w:hAnsi="宋体" w:eastAsia="宋体" w:cs="宋体"/>
                <w:kern w:val="0"/>
                <w:sz w:val="24"/>
                <w:szCs w:val="24"/>
                <w:lang w:val="en-US" w:eastAsia="zh-CN"/>
              </w:rPr>
              <w:t>国有资本经营收入</w:t>
            </w:r>
            <w:r>
              <w:rPr>
                <w:rFonts w:hint="eastAsia" w:ascii="宋体" w:hAnsi="宋体" w:eastAsia="宋体" w:cs="宋体"/>
                <w:kern w:val="0"/>
                <w:sz w:val="24"/>
                <w:szCs w:val="24"/>
              </w:rPr>
              <w:t>，故本表无数据)</w:t>
            </w:r>
          </w:p>
          <w:p>
            <w:pPr>
              <w:widowControl/>
              <w:jc w:val="left"/>
              <w:rPr>
                <w:rFonts w:hint="eastAsia" w:ascii="宋体" w:hAnsi="宋体" w:eastAsia="宋体" w:cs="宋体"/>
                <w:kern w:val="0"/>
                <w:sz w:val="24"/>
                <w:szCs w:val="24"/>
              </w:rPr>
            </w:pPr>
          </w:p>
        </w:tc>
      </w:tr>
    </w:tbl>
    <w:p>
      <w:pPr>
        <w:pStyle w:val="14"/>
        <w:rPr>
          <w:sz w:val="72"/>
          <w:szCs w:val="72"/>
        </w:rPr>
        <w:sectPr>
          <w:pgSz w:w="16838" w:h="11906" w:orient="landscape"/>
          <w:pgMar w:top="567" w:right="720" w:bottom="567" w:left="720" w:header="851" w:footer="992" w:gutter="0"/>
          <w:cols w:space="425" w:num="1"/>
          <w:docGrid w:type="lines" w:linePitch="312" w:charSpace="0"/>
        </w:sectPr>
      </w:pP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第三部分</w:t>
      </w:r>
    </w:p>
    <w:p>
      <w:pPr>
        <w:pStyle w:val="14"/>
        <w:jc w:val="center"/>
        <w:rPr>
          <w:sz w:val="70"/>
          <w:szCs w:val="70"/>
        </w:rPr>
      </w:pPr>
    </w:p>
    <w:p>
      <w:pPr>
        <w:pStyle w:val="14"/>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4"/>
        <w:rPr>
          <w:rFonts w:asciiTheme="minorEastAsia" w:hAnsiTheme="minorEastAsia" w:eastAsiaTheme="minorEastAsia"/>
          <w:sz w:val="32"/>
          <w:szCs w:val="32"/>
        </w:rPr>
      </w:pPr>
    </w:p>
    <w:p>
      <w:pPr>
        <w:pStyle w:val="14"/>
        <w:rPr>
          <w:rFonts w:hAnsi="黑体"/>
          <w:b/>
          <w:sz w:val="32"/>
          <w:szCs w:val="32"/>
        </w:rPr>
      </w:pPr>
      <w:r>
        <w:rPr>
          <w:rFonts w:hint="eastAsia" w:hAnsi="黑体"/>
          <w:b/>
          <w:sz w:val="32"/>
          <w:szCs w:val="32"/>
        </w:rPr>
        <w:t>一、收入支出决算总体情况说明</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930.63</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35.56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%，主要是因为2020年12月底追加50万科研项目资金未形成支出结转至下年</w:t>
      </w:r>
      <w:r>
        <w:rPr>
          <w:rFonts w:hint="eastAsia" w:asciiTheme="minorEastAsia" w:hAnsiTheme="minorEastAsia" w:eastAsiaTheme="minorEastAsia"/>
          <w:sz w:val="32"/>
          <w:szCs w:val="32"/>
          <w:lang w:eastAsia="zh-CN"/>
        </w:rPr>
        <w:t>。</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828.15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767.68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60.47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三、支出决算情况说明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762.71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653.32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109.39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四、财政拨款收入支出决算总体情况说明</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840.57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37.05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%，主要是因为2020年12月底追加50万科研项目资金未形成支出结转至下年</w:t>
      </w:r>
      <w:r>
        <w:rPr>
          <w:rFonts w:hint="eastAsia" w:asciiTheme="minorEastAsia" w:hAnsiTheme="minorEastAsia" w:eastAsiaTheme="minorEastAsia"/>
          <w:sz w:val="32"/>
          <w:szCs w:val="32"/>
          <w:lang w:eastAsia="zh-CN"/>
        </w:rPr>
        <w:t>。</w:t>
      </w: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709.13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0.24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2020年压减了一般性支出。</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709.13</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5.81</w:t>
      </w:r>
      <w:r>
        <w:rPr>
          <w:rFonts w:hint="eastAsia" w:asciiTheme="minorEastAsia" w:hAnsiTheme="minorEastAsia" w:eastAsiaTheme="minorEastAsia"/>
          <w:sz w:val="32"/>
          <w:szCs w:val="32"/>
        </w:rPr>
        <w:t>元，占</w:t>
      </w:r>
      <w:r>
        <w:rPr>
          <w:rFonts w:hint="eastAsia" w:asciiTheme="minorEastAsia" w:hAnsiTheme="minorEastAsia" w:eastAsiaTheme="minorEastAsia"/>
          <w:sz w:val="32"/>
          <w:szCs w:val="32"/>
          <w:lang w:val="en-US" w:eastAsia="zh-CN"/>
        </w:rPr>
        <w:t>0.82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科学技术</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550.70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77.66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社会保障和就业支出78.08万元，占11.01%；农林水支出18.20万元，占2.57%；住房保障支出56.33万元，占7.94%。</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676.82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709.13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104.77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决算数与预算数形成差异的主要原因如下</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一般公共服务支出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市场监督管理事务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质量基础</w:t>
      </w:r>
      <w:r>
        <w:rPr>
          <w:rFonts w:hint="eastAsia" w:asciiTheme="minorEastAsia" w:hAnsiTheme="minorEastAsia" w:eastAsiaTheme="minorEastAsia"/>
          <w:sz w:val="32"/>
          <w:szCs w:val="32"/>
        </w:rPr>
        <w:t>（项）。</w:t>
      </w:r>
    </w:p>
    <w:p>
      <w:pPr>
        <w:pStyle w:val="14"/>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年中追加科研项目经费在本年形成支出2.64万元。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科学技术支出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基础研究</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自然科学基金</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21.76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8.66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%，决算数小</w:t>
      </w:r>
      <w:r>
        <w:rPr>
          <w:rFonts w:hint="eastAsia" w:asciiTheme="minorEastAsia" w:hAnsiTheme="minorEastAsia" w:eastAsiaTheme="minorEastAsia"/>
          <w:sz w:val="32"/>
          <w:szCs w:val="32"/>
          <w:lang w:val="en-US" w:eastAsia="zh-CN"/>
        </w:rPr>
        <w:t>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自然科学基金项目合同期均为3年，按照项目进度合理逐步开支经费。</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科学技术支出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应用研究</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机构运行</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489.46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499.36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102</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年中压减一般性支出20万元，年低追加的指标在本年形成支出32.53万元。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科学技术支出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科技重大项目</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重点研发计划</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17.95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年中追加的科研项目在本年形成支出17.95万元。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5、科学技术支出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其他科学技术支出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科技奖励</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年中追加的科技奖励在本年形成支出5万元。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6、农林水支出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农业农村</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农产品质量安全</w:t>
      </w:r>
      <w:r>
        <w:rPr>
          <w:rFonts w:hint="eastAsia" w:asciiTheme="minorEastAsia" w:hAnsiTheme="minorEastAsia" w:eastAsiaTheme="minorEastAsia"/>
          <w:sz w:val="32"/>
          <w:szCs w:val="32"/>
        </w:rPr>
        <w:t>（项）。</w:t>
      </w:r>
    </w:p>
    <w:p>
      <w:pPr>
        <w:pStyle w:val="14"/>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222</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年中追加的农产品质量安全追溯体系建设项目资金在本年形成支出10万元。</w:t>
      </w:r>
    </w:p>
    <w:p>
      <w:pPr>
        <w:pStyle w:val="14"/>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633.77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561.97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88.67</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val="en-US" w:eastAsia="zh-CN"/>
        </w:rPr>
        <w:t>绩效工资、机关事业单位基本养老保险缴费、住房公积金、对个人和家庭的补助、退休费等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71.8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11.33</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val="en-US" w:eastAsia="zh-CN"/>
        </w:rPr>
        <w:t>电费</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维修维护费、劳务费、工会经费、福利费、其他交通费、税金及附加费等</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根据2020年压减省级一般性支出的要求年中减公务接待费预算压减至0元</w:t>
      </w:r>
      <w:r>
        <w:rPr>
          <w:rFonts w:hint="eastAsia" w:asciiTheme="minorEastAsia" w:hAnsiTheme="minorEastAsia" w:eastAsiaTheme="minorEastAsia"/>
          <w:sz w:val="32"/>
          <w:szCs w:val="32"/>
        </w:rPr>
        <w:t>。</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0.83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本单位车辆处于封存待报废状态，2020年暂未发生费用</w:t>
      </w:r>
      <w:r>
        <w:rPr>
          <w:rFonts w:hint="eastAsia" w:asciiTheme="minorEastAsia" w:hAnsiTheme="minorEastAsia" w:eastAsiaTheme="minorEastAsia"/>
          <w:sz w:val="32"/>
          <w:szCs w:val="32"/>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ind w:firstLine="800" w:firstLineChars="250"/>
        <w:rPr>
          <w:rFonts w:cs="黑体" w:asciiTheme="minorEastAsia" w:hAnsiTheme="minorEastAsia"/>
          <w:color w:val="000000"/>
          <w:kern w:val="0"/>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numPr>
          <w:ilvl w:val="0"/>
          <w:numId w:val="3"/>
        </w:numPr>
        <w:rPr>
          <w:rFonts w:hint="eastAsia" w:hAnsi="黑体"/>
          <w:b/>
          <w:sz w:val="32"/>
          <w:szCs w:val="32"/>
        </w:rPr>
      </w:pPr>
      <w:r>
        <w:rPr>
          <w:rFonts w:hint="eastAsia" w:hAnsi="黑体"/>
          <w:b/>
          <w:sz w:val="32"/>
          <w:szCs w:val="32"/>
        </w:rPr>
        <w:t>政府性基金预算收入支出决算情况</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i/>
          <w:color w:val="FF0000"/>
          <w:sz w:val="32"/>
          <w:szCs w:val="32"/>
          <w:lang w:val="en-US" w:eastAsia="zh-CN"/>
        </w:rPr>
      </w:pPr>
      <w:r>
        <w:rPr>
          <w:rFonts w:hint="eastAsia" w:asciiTheme="minorEastAsia" w:hAnsiTheme="minorEastAsia" w:eastAsiaTheme="minorEastAsia"/>
          <w:sz w:val="32"/>
          <w:szCs w:val="32"/>
          <w:lang w:val="en-US" w:eastAsia="zh-CN"/>
        </w:rPr>
        <w:t>本单位无政府性基金。</w:t>
      </w:r>
    </w:p>
    <w:p>
      <w:pPr>
        <w:pStyle w:val="14"/>
        <w:numPr>
          <w:ilvl w:val="0"/>
          <w:numId w:val="4"/>
        </w:numPr>
        <w:rPr>
          <w:rFonts w:hint="eastAsia" w:hAnsi="黑体"/>
          <w:b/>
          <w:sz w:val="32"/>
          <w:szCs w:val="32"/>
        </w:rPr>
      </w:pPr>
      <w:r>
        <w:rPr>
          <w:rFonts w:hint="eastAsia" w:hAnsi="黑体"/>
          <w:b/>
          <w:sz w:val="32"/>
          <w:szCs w:val="32"/>
        </w:rPr>
        <w:t>关于机关运行经费支出说明</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val="en-US" w:eastAsia="zh-CN"/>
        </w:rPr>
        <w:t>单位为非参公事业单位，无机关运行经费。</w:t>
      </w:r>
    </w:p>
    <w:p>
      <w:pPr>
        <w:pStyle w:val="14"/>
        <w:rPr>
          <w:rFonts w:hAnsi="黑体"/>
          <w:b/>
          <w:sz w:val="32"/>
          <w:szCs w:val="32"/>
        </w:rPr>
      </w:pPr>
      <w:r>
        <w:rPr>
          <w:rFonts w:hint="eastAsia" w:hAnsi="黑体"/>
          <w:b/>
          <w:sz w:val="32"/>
          <w:szCs w:val="32"/>
        </w:rPr>
        <w:t>十、一般性支出情况</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1.68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其中0.7万元为特色食用菌产业化优质增效项目会议，参会人数20人，内容为专家对该项目验收结题座谈会；0.48内容为南荻基质栽培技术项目会议，参会人数20人内容为专家对该项目验收结题座谈会；0.5菌种常规保藏技术项目会议，参会人数20人内容为专家对该项目验收结题座谈会。</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0.94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其中0.54万元</w:t>
      </w:r>
      <w:r>
        <w:rPr>
          <w:rFonts w:hint="eastAsia" w:asciiTheme="minorEastAsia" w:hAnsiTheme="minorEastAsia" w:eastAsiaTheme="minorEastAsia"/>
          <w:sz w:val="32"/>
          <w:szCs w:val="32"/>
        </w:rPr>
        <w:t>用于开展</w:t>
      </w:r>
      <w:r>
        <w:rPr>
          <w:rFonts w:hint="eastAsia" w:asciiTheme="minorEastAsia" w:hAnsiTheme="minorEastAsia" w:eastAsiaTheme="minorEastAsia"/>
          <w:sz w:val="32"/>
          <w:szCs w:val="32"/>
          <w:lang w:val="en-US" w:eastAsia="zh-CN"/>
        </w:rPr>
        <w:t>专业人员技术教育</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培训</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科研人员、财务人员专业及公需科目培训。0.4万元用于聘请党校老师讲党课，培训人数为20人，内容为提升党员素养。</w:t>
      </w:r>
    </w:p>
    <w:p>
      <w:pPr>
        <w:pStyle w:val="14"/>
        <w:rPr>
          <w:rFonts w:hAnsi="黑体"/>
          <w:b/>
          <w:sz w:val="32"/>
          <w:szCs w:val="32"/>
        </w:rPr>
      </w:pPr>
      <w:r>
        <w:rPr>
          <w:rFonts w:hint="eastAsia" w:hAnsi="黑体"/>
          <w:b/>
          <w:sz w:val="32"/>
          <w:szCs w:val="32"/>
        </w:rPr>
        <w:t>十一、关于政府采购支出说明</w:t>
      </w:r>
    </w:p>
    <w:p>
      <w:pPr>
        <w:pStyle w:val="14"/>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val="en-US" w:eastAsia="zh-CN"/>
        </w:rPr>
        <w:t>单位</w:t>
      </w:r>
      <w:r>
        <w:rPr>
          <w:rFonts w:hint="eastAsia" w:asciiTheme="minorEastAsia" w:hAnsiTheme="minorEastAsia" w:eastAsiaTheme="minorEastAsia"/>
          <w:sz w:val="32"/>
          <w:szCs w:val="32"/>
        </w:rPr>
        <w:t>2020年度政府采购支出总额</w:t>
      </w:r>
      <w:r>
        <w:rPr>
          <w:rFonts w:hint="eastAsia" w:asciiTheme="minorEastAsia" w:hAnsiTheme="minorEastAsia" w:eastAsiaTheme="minorEastAsia"/>
          <w:sz w:val="32"/>
          <w:szCs w:val="32"/>
          <w:lang w:val="en-US" w:eastAsia="zh-CN"/>
        </w:rPr>
        <w:t>8.36</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8.36</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8.36</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均通过湖南省政府采购电子卖场采购。</w:t>
      </w:r>
    </w:p>
    <w:p>
      <w:pPr>
        <w:pStyle w:val="14"/>
        <w:rPr>
          <w:rFonts w:hAnsi="黑体"/>
          <w:b/>
          <w:sz w:val="32"/>
          <w:szCs w:val="32"/>
        </w:rPr>
      </w:pPr>
      <w:r>
        <w:rPr>
          <w:rFonts w:hint="eastAsia" w:hAnsi="黑体"/>
          <w:b/>
          <w:sz w:val="32"/>
          <w:szCs w:val="32"/>
        </w:rPr>
        <w:t>十二、关于国有资产占用情况说明</w:t>
      </w:r>
    </w:p>
    <w:p>
      <w:pPr>
        <w:pStyle w:val="14"/>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val="en-US" w:eastAsia="zh-CN"/>
        </w:rPr>
        <w:t>车辆已封存待报废</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4"/>
        <w:ind w:firstLine="640" w:firstLineChars="200"/>
        <w:rPr>
          <w:rFonts w:hint="eastAsia" w:asciiTheme="minorEastAsia" w:hAnsiTheme="minorEastAsia" w:eastAsiaTheme="minorEastAsia"/>
          <w:sz w:val="32"/>
          <w:szCs w:val="32"/>
        </w:rPr>
      </w:pPr>
    </w:p>
    <w:p>
      <w:pPr>
        <w:pStyle w:val="14"/>
        <w:rPr>
          <w:rFonts w:hAnsi="黑体"/>
          <w:b/>
          <w:sz w:val="32"/>
          <w:szCs w:val="32"/>
        </w:rPr>
      </w:pPr>
      <w:r>
        <w:rPr>
          <w:rFonts w:hint="eastAsia" w:hAnsi="黑体"/>
          <w:b/>
          <w:sz w:val="32"/>
          <w:szCs w:val="32"/>
        </w:rPr>
        <w:t>十三、关于2020年度预算绩效情况的说明</w:t>
      </w:r>
    </w:p>
    <w:p>
      <w:pPr>
        <w:pStyle w:val="14"/>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val="en-US" w:eastAsia="zh-CN"/>
        </w:rPr>
        <w:t>单位按要求开展了</w:t>
      </w:r>
      <w:r>
        <w:rPr>
          <w:rFonts w:hint="eastAsia" w:asciiTheme="minorEastAsia" w:hAnsiTheme="minorEastAsia" w:eastAsiaTheme="minorEastAsia"/>
          <w:sz w:val="32"/>
          <w:szCs w:val="32"/>
        </w:rPr>
        <w:t>预算绩效管理</w:t>
      </w:r>
      <w:r>
        <w:rPr>
          <w:rFonts w:hint="eastAsia" w:asciiTheme="minorEastAsia" w:hAnsiTheme="minorEastAsia" w:eastAsiaTheme="minorEastAsia"/>
          <w:sz w:val="32"/>
          <w:szCs w:val="32"/>
          <w:lang w:val="en-US" w:eastAsia="zh-CN"/>
        </w:rPr>
        <w:t>工作，基本完成单位的</w:t>
      </w:r>
      <w:r>
        <w:rPr>
          <w:rFonts w:hint="eastAsia" w:asciiTheme="minorEastAsia" w:hAnsiTheme="minorEastAsia" w:eastAsiaTheme="minorEastAsia"/>
          <w:sz w:val="32"/>
          <w:szCs w:val="32"/>
        </w:rPr>
        <w:t>绩效目标</w:t>
      </w:r>
      <w:r>
        <w:rPr>
          <w:rFonts w:hint="eastAsia" w:asciiTheme="minorEastAsia" w:hAnsiTheme="minorEastAsia" w:eastAsiaTheme="minorEastAsia"/>
          <w:sz w:val="32"/>
          <w:szCs w:val="32"/>
          <w:lang w:val="en-US" w:eastAsia="zh-CN"/>
        </w:rPr>
        <w:t>并形成了</w:t>
      </w:r>
      <w:r>
        <w:rPr>
          <w:rFonts w:hint="eastAsia" w:asciiTheme="minorEastAsia" w:hAnsiTheme="minorEastAsia" w:eastAsiaTheme="minorEastAsia"/>
          <w:sz w:val="32"/>
          <w:szCs w:val="32"/>
        </w:rPr>
        <w:t>绩效评价报告</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详见附件《湖南省食用菌研究所2020年度整体支出绩效自评报告》。</w:t>
      </w:r>
    </w:p>
    <w:p>
      <w:pPr>
        <w:pStyle w:val="14"/>
        <w:rPr>
          <w:rFonts w:hAnsi="黑体"/>
          <w:b/>
          <w:sz w:val="32"/>
          <w:szCs w:val="3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一、基本支出：指单位为保障其机构正常运转、完成日常工作任务而发生的人员支出和公用支出。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二</w:t>
      </w:r>
      <w:r>
        <w:rPr>
          <w:rFonts w:hint="eastAsia" w:cs="黑体" w:asciiTheme="minorEastAsia" w:hAnsiTheme="minorEastAsia"/>
          <w:color w:val="000000"/>
          <w:kern w:val="0"/>
          <w:sz w:val="32"/>
          <w:szCs w:val="32"/>
        </w:rPr>
        <w:t>、项目支出：指单位为完成特定行政任务和事业发展目标在基本支出之外所发生的支出。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三</w:t>
      </w:r>
      <w:r>
        <w:rPr>
          <w:rFonts w:hint="eastAsia" w:cs="黑体" w:asciiTheme="minorEastAsia" w:hAnsiTheme="minorEastAsia"/>
          <w:color w:val="000000"/>
          <w:kern w:val="0"/>
          <w:sz w:val="32"/>
          <w:szCs w:val="32"/>
        </w:rPr>
        <w:t>、“三公经费”：纳入省财政预算管理的“三公”经费，是指用一般公共预算拨款安排的公务接待费、公务用车购置及运行维护费和因公出国（境）费。其中，公务接待费反映单位按规定开支的各类接待支出；公务用车购置及运行费反映单位公务用车车辆购置支出（含车辆购置税），以及燃料费、维修费、保险费等支出；因公出国（境）费反映单位公务出国（境）的国际旅游费、国外城市间交通费、食宿费等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四</w:t>
      </w:r>
      <w:r>
        <w:rPr>
          <w:rFonts w:hint="eastAsia" w:cs="黑体" w:asciiTheme="minorEastAsia" w:hAnsiTheme="minorEastAsia"/>
          <w:color w:val="000000"/>
          <w:kern w:val="0"/>
          <w:sz w:val="32"/>
          <w:szCs w:val="32"/>
        </w:rPr>
        <w:t>、一般公共预算：一般公共预算是对以税收为主体的财政收入，安排用于保障和改善民生、推动经济社会发展、维护国家安全、维持国家机构正常运转等方面的收支预算。</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五</w:t>
      </w:r>
      <w:r>
        <w:rPr>
          <w:rFonts w:hint="eastAsia" w:cs="黑体" w:asciiTheme="minorEastAsia" w:hAnsiTheme="minorEastAsia"/>
          <w:color w:val="000000"/>
          <w:kern w:val="0"/>
          <w:sz w:val="32"/>
          <w:szCs w:val="32"/>
        </w:rPr>
        <w:t>、政府性基金预算：政府性基金预算是国家通过向社会征收以及出让土地、发行彩票等方式取得收入，并专项用于支持特定基础设施建设和社会事业发展的财政收支预算，是政府预算体系的重要组成部分。</w:t>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both"/>
        <w:rPr>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hint="eastAsia" w:ascii="黑体" w:hAnsi="黑体" w:eastAsia="黑体"/>
          <w:b/>
          <w:sz w:val="36"/>
          <w:szCs w:val="36"/>
        </w:rPr>
      </w:pPr>
      <w:r>
        <w:rPr>
          <w:rFonts w:hint="eastAsia" w:ascii="黑体" w:hAnsi="黑体" w:eastAsia="黑体"/>
          <w:b/>
          <w:sz w:val="36"/>
          <w:szCs w:val="36"/>
        </w:rPr>
        <w:t>湖南省食用菌研究所2020年度</w:t>
      </w:r>
    </w:p>
    <w:p>
      <w:pPr>
        <w:jc w:val="center"/>
        <w:rPr>
          <w:rFonts w:hint="eastAsia" w:ascii="黑体" w:hAnsi="黑体" w:eastAsia="黑体"/>
          <w:b/>
          <w:sz w:val="36"/>
          <w:szCs w:val="36"/>
        </w:rPr>
      </w:pPr>
      <w:r>
        <w:rPr>
          <w:rFonts w:hint="eastAsia" w:ascii="黑体" w:hAnsi="黑体" w:eastAsia="黑体"/>
          <w:b/>
          <w:sz w:val="36"/>
          <w:szCs w:val="36"/>
        </w:rPr>
        <w:t>整体支出绩效自评报告</w:t>
      </w:r>
    </w:p>
    <w:p>
      <w:pPr>
        <w:jc w:val="center"/>
        <w:rPr>
          <w:rFonts w:hint="eastAsia" w:ascii="黑体" w:hAnsi="黑体" w:eastAsia="黑体"/>
          <w:b/>
          <w:sz w:val="36"/>
          <w:szCs w:val="36"/>
        </w:rPr>
      </w:pPr>
    </w:p>
    <w:p>
      <w:pPr>
        <w:ind w:firstLine="640" w:firstLineChars="200"/>
        <w:rPr>
          <w:rFonts w:hint="eastAsia" w:ascii="黑体" w:hAnsi="黑体" w:eastAsia="黑体" w:cs="黑体"/>
          <w:b/>
          <w:bCs/>
          <w:sz w:val="32"/>
          <w:szCs w:val="32"/>
        </w:rPr>
      </w:pPr>
      <w:r>
        <w:rPr>
          <w:rFonts w:hint="eastAsia" w:ascii="黑体" w:hAnsi="黑体" w:eastAsia="黑体" w:cs="黑体"/>
          <w:b/>
          <w:bCs/>
          <w:sz w:val="32"/>
          <w:szCs w:val="32"/>
        </w:rPr>
        <w:t>一、单位基本情况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湖南省食用菌研究所是我省唯一专门从事食用菌研究与应用的科研机构，成立于1983年。是全国四大省级食用菌专业研究开发机构之一，主要从事食用菌新品种的引进、驯化、繁育及优质高产栽培技术的研究与开发。所内现有职工59人（含离退休职工24人，临聘3人），其中：中高级技术职称26人，享受政府特殊津贴的1人。建所以来，长期肩负着全省食用菌科研、开发重任，技术力量雄厚，持续创新能力强，推广普及力度大。多年来，坚持持续不断地推进新品种、新技术、新工艺的原始创新、集成创新和消化吸收再创新，努力掌握拥有自主知识产权的核心技术和关键技术，促进科研成果由“论文成果型”向“经济效益型转变”，取得了一系列研究成果。</w:t>
      </w:r>
    </w:p>
    <w:p>
      <w:pPr>
        <w:ind w:firstLine="640" w:firstLineChars="200"/>
        <w:rPr>
          <w:rFonts w:hint="eastAsia" w:ascii="黑体" w:hAnsi="黑体" w:eastAsia="黑体" w:cs="黑体"/>
          <w:b/>
          <w:bCs/>
          <w:sz w:val="32"/>
          <w:szCs w:val="32"/>
        </w:rPr>
      </w:pPr>
      <w:r>
        <w:rPr>
          <w:rFonts w:hint="eastAsia" w:ascii="黑体" w:hAnsi="黑体" w:eastAsia="黑体" w:cs="黑体"/>
          <w:b/>
          <w:bCs/>
          <w:sz w:val="32"/>
          <w:szCs w:val="32"/>
        </w:rPr>
        <w:t>二、一般公共预算支出情况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（一）基本支出情况</w:t>
      </w:r>
    </w:p>
    <w:p>
      <w:pPr>
        <w:ind w:firstLine="640" w:firstLineChars="200"/>
        <w:rPr>
          <w:rFonts w:ascii="仿宋" w:hAnsi="仿宋" w:eastAsia="仿宋" w:cs="仿宋"/>
          <w:sz w:val="32"/>
          <w:szCs w:val="32"/>
        </w:rPr>
      </w:pPr>
      <w:r>
        <w:rPr>
          <w:rFonts w:hint="eastAsia" w:ascii="仿宋" w:hAnsi="仿宋" w:eastAsia="仿宋" w:cs="仿宋"/>
          <w:sz w:val="32"/>
          <w:szCs w:val="32"/>
        </w:rPr>
        <w:t>2020年湖南省食用菌研究所本年支出年初预算合计6,039,300元，其中基本支出—人员经费5,026,100元，基本支出—日常公用经费943,600元,基本支出—办公设备购置费69,600元。本年预算调整增加基本支出—人员经费625,081.81元，减少基本支出—日常公用经费61,606.08元。调整后基本支出本年预算数为6,602,775.73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2020年全年决算基本支出6,602,775.73元，其中人员经费支出5,651,181.81元，日常公用经费881,993.92元,办公设备购置69,600元。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湖南省食用菌研究所三公经费支出：其中公务接待费0元，较上年公务接待费用1,733元，减少了1,733元，减幅100%，是因为年中压缩一般性支出时将公务接待费预算指标压减至0；公务用车运行维护费0元，较上年公务用车运行维护费8,376元减少了8,376元，减幅100%，主要因为车辆改革后本单位汽车已封存，等待报废处置，本年暂未发生费用；2020年无因公出国（境）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（二）项目支出情况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（1）项目支出总体情况：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2020年湖南省食用菌研究所本年项目支出年初预算数755，802.91元，本年项目支出预算调整增加268,474.38元，全年项目支出调整后预算数1,024,277.29元。2020年全年项目支出决算数为1,024,277.29元。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（2）省级专项资金支出情况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本年度省级专项资金项目支出共15个，其中：上年结转459,868.20元，本年收入979,222.34元，本年支出683,993.04元，年末结转755,097.50元，具体项目收支明细见下表：</w:t>
      </w:r>
    </w:p>
    <w:tbl>
      <w:tblPr>
        <w:tblStyle w:val="6"/>
        <w:tblW w:w="0" w:type="auto"/>
        <w:tblInd w:w="93" w:type="dxa"/>
        <w:tblLayout w:type="autofit"/>
        <w:tblCellMar>
          <w:top w:w="0" w:type="dxa"/>
          <w:left w:w="108" w:type="dxa"/>
          <w:bottom w:w="0" w:type="dxa"/>
          <w:right w:w="108" w:type="dxa"/>
        </w:tblCellMar>
      </w:tblPr>
      <w:tblGrid>
        <w:gridCol w:w="546"/>
        <w:gridCol w:w="3825"/>
        <w:gridCol w:w="1116"/>
        <w:gridCol w:w="1116"/>
        <w:gridCol w:w="1116"/>
        <w:gridCol w:w="1116"/>
        <w:gridCol w:w="1754"/>
      </w:tblGrid>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项目、课题名称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上年结转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本年收入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本年支出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年末结转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备注</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维修改造补助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99,999.60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0.40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湘财教指[2019]78号</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南荻基质栽培食用菌应用技术规程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49,201.00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799.00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湘财农指[2020]49号</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大球盖菇栽培技术规程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26,364.00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13,636.00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湘财农指[2020]25号</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花脸香蘑栽培技术规程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31,755.20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31,755.20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珍稀菌花脸香蘑中海藻糖分离纯化及其逆境保护效应研究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39,099.00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23,151.80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15,947.20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灰树花双向代谢研究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97,903.00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8,806.00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89,097.00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重金属Cd胁迫下杏鲍菇菌丝体内酶及相关物质的变化研究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80,582.50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34,665.20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45,917.30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高温胁迫灰树花不同胞外酶活性原生质体再生活力的影响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80,000.00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湘财农指[2020]20号</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《食用菌轻简化栽培技术》科普图书制作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27,715.50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5.84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27,721.34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5.84元为银行存款支付</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特色食用菌产业优质增效技术研究与示范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189,216.50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179,524.50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9,692.00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2020年重新下指标</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农业秸秆资源食用菌基料化高效循环利用关键技术研究与示范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500,000.00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500,000.00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湘财教指[2020]74号 </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科技进步奖（灰树花优质高效栽培关键技术创新与应用）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湘财农指[2020]34号</w:t>
            </w:r>
          </w:p>
        </w:tc>
      </w:tr>
      <w:tr>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秀珍菇设施栽培技术规程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40,073.00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40,073.00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湘财农指[2019]84号</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鹿茸菇设施技术栽培规程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42,740.00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42,740.00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菌种常规保藏技术规程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49,991.40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8.60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湘财农指[2020]49号</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20"/>
                <w:szCs w:val="20"/>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459,868.20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979,222.34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683,993.04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755,097.50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bl>
    <w:p>
      <w:pPr>
        <w:ind w:firstLine="640" w:firstLineChars="200"/>
        <w:rPr>
          <w:rFonts w:hint="eastAsia" w:ascii="仿宋" w:hAnsi="仿宋" w:eastAsia="仿宋" w:cs="仿宋"/>
          <w:sz w:val="32"/>
          <w:szCs w:val="32"/>
        </w:rPr>
      </w:pPr>
      <w:r>
        <w:rPr>
          <w:rFonts w:hint="eastAsia" w:ascii="仿宋" w:hAnsi="仿宋" w:eastAsia="仿宋" w:cs="仿宋"/>
          <w:sz w:val="32"/>
          <w:szCs w:val="32"/>
        </w:rPr>
        <w:t>（3）横向项目资金支出情况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本年度横向项目支出共12个，其中：上年结转295,934.71 元，本年收入150,000元，本年支出340,284.25元，计提管理费9,082.96元，年末结转105,650.46元，具体项目收支明细见下表：</w:t>
      </w:r>
    </w:p>
    <w:tbl>
      <w:tblPr>
        <w:tblStyle w:val="6"/>
        <w:tblW w:w="0" w:type="auto"/>
        <w:tblInd w:w="93" w:type="dxa"/>
        <w:tblLayout w:type="autofit"/>
        <w:tblCellMar>
          <w:top w:w="0" w:type="dxa"/>
          <w:left w:w="108" w:type="dxa"/>
          <w:bottom w:w="0" w:type="dxa"/>
          <w:right w:w="108" w:type="dxa"/>
        </w:tblCellMar>
      </w:tblPr>
      <w:tblGrid>
        <w:gridCol w:w="535"/>
        <w:gridCol w:w="3959"/>
        <w:gridCol w:w="1116"/>
        <w:gridCol w:w="1116"/>
        <w:gridCol w:w="1116"/>
        <w:gridCol w:w="1096"/>
        <w:gridCol w:w="1116"/>
        <w:gridCol w:w="535"/>
      </w:tblGrid>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项目、课题名称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上年结转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本年收入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本年支出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计提管理费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年末结转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名贵食用菌生产基地建设与技术推广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42.64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42.64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芦苇菇菌种选育与驯化栽培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26,905.50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26,905.50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珍稀食用菌设施化生产工艺创新与基地建设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18,337.00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18,320.00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17.00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湖南优势种植业功能微生物种质资源挖掘、选育与应用—农业废弃物食用菌高产配方研制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80,000.00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71,432.00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68,568.00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食用菌标准化生产技术推广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12,674.50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12,669.75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4.75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食用菌产学研示范（百果园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23,623.00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23,623.00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怀化七溪村高产节水林下种植模式示范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1.07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1.07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喜丹多食用菌技术服务指导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423.50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406.00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17.50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绥宁科普示范基地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1,502.00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1,502.00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珍稀食用菌黑皮鸡枞菌产业化栽培技术研究及其加工产品开发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111,826.50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103,675.50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8,151.00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食用菌产学研技术合作与服务（津市市新洲镇）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9,744.00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3,000.00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17,256.00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灵芝种植生产技术指导和服务（龙山）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20,599.00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72,006.50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6,000.00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2,592.50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295,934.71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340,284.25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9,082.96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105,650.46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bl>
    <w:p>
      <w:pPr>
        <w:ind w:firstLine="640" w:firstLineChars="200"/>
        <w:rPr>
          <w:rFonts w:hint="eastAsia" w:ascii="仿宋" w:hAnsi="仿宋" w:eastAsia="仿宋" w:cs="仿宋"/>
          <w:sz w:val="32"/>
          <w:szCs w:val="32"/>
        </w:rPr>
      </w:pPr>
      <w:r>
        <w:rPr>
          <w:rFonts w:ascii="仿宋" w:hAnsi="仿宋" w:eastAsia="仿宋" w:cs="仿宋"/>
          <w:sz w:val="32"/>
          <w:szCs w:val="32"/>
        </w:rPr>
        <w:t>经自查，我</w:t>
      </w:r>
      <w:r>
        <w:rPr>
          <w:rFonts w:hint="eastAsia" w:ascii="仿宋" w:hAnsi="仿宋" w:eastAsia="仿宋" w:cs="仿宋"/>
          <w:sz w:val="32"/>
          <w:szCs w:val="32"/>
        </w:rPr>
        <w:t>单位</w:t>
      </w:r>
      <w:r>
        <w:rPr>
          <w:rFonts w:ascii="仿宋" w:hAnsi="仿宋" w:eastAsia="仿宋" w:cs="仿宋"/>
          <w:sz w:val="32"/>
          <w:szCs w:val="32"/>
        </w:rPr>
        <w:t>基本支出和专项支出（项目资金）使用符合要求，专项资金无挤占、挪用及截留情况。</w:t>
      </w:r>
    </w:p>
    <w:p>
      <w:pPr>
        <w:ind w:firstLine="640" w:firstLineChars="200"/>
        <w:rPr>
          <w:rFonts w:hint="eastAsia" w:ascii="黑体" w:hAnsi="黑体" w:eastAsia="黑体" w:cs="黑体"/>
          <w:b/>
          <w:bCs/>
          <w:sz w:val="32"/>
          <w:szCs w:val="32"/>
        </w:rPr>
      </w:pPr>
      <w:r>
        <w:rPr>
          <w:rFonts w:hint="eastAsia" w:ascii="黑体" w:hAnsi="黑体" w:eastAsia="黑体" w:cs="黑体"/>
          <w:b/>
          <w:bCs/>
          <w:sz w:val="32"/>
          <w:szCs w:val="32"/>
        </w:rPr>
        <w:t>三、单位整体支出绩效情况</w:t>
      </w:r>
    </w:p>
    <w:p>
      <w:pPr>
        <w:ind w:firstLine="640" w:firstLineChars="200"/>
        <w:rPr>
          <w:rFonts w:hint="eastAsia" w:ascii="仿宋" w:hAnsi="仿宋" w:eastAsia="仿宋" w:cs="仿宋"/>
          <w:sz w:val="32"/>
          <w:szCs w:val="32"/>
        </w:rPr>
      </w:pPr>
      <w:r>
        <w:rPr>
          <w:rFonts w:hint="eastAsia" w:ascii="宋体" w:hAnsi="宋体" w:cs="黑体"/>
          <w:b/>
          <w:bCs/>
          <w:sz w:val="32"/>
          <w:szCs w:val="32"/>
        </w:rPr>
        <w:t xml:space="preserve">   </w:t>
      </w:r>
      <w:r>
        <w:rPr>
          <w:rFonts w:hint="eastAsia" w:ascii="仿宋" w:hAnsi="仿宋" w:eastAsia="仿宋" w:cs="仿宋"/>
          <w:sz w:val="32"/>
          <w:szCs w:val="32"/>
        </w:rPr>
        <w:t>（一）绩效目标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1、单位年度整体目标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党的十九大精神，全面落实“创新引领、开放崛起”战略，加强党建，加强干部职工精神文明建设，争创省级综合治理先进单位，强化预算执行力，提升内部控制管理，进一步规范单位各项管理工作，围绕湖南省科学技术厅2020年度整体绩效标，面向“三农”需求，面向社会发展，面向科技前沿，突出公益性基础研究、加强关键技术科技攻关、扩大共性技术成果应用，充分发挥食用菌科技创新在农业结构调整和产业转型升级中的战略支撑作用，充分发挥单位科研技术优势，积极融入到产业扶贫和乡村振兴中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2、省级专项资金绩效目标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年初，我所计划在实施好在研科研课题基础上，新增申报相关课题11个，力争60%以上申报项目能获批立项。根据课题研究内容发表学术论文8篇，新增搜集食用菌种质资源30份，获得国家级或省级奖励1项。对以前年度承担的课题在本年度内按时高质量验收结题6个。</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3、其他项目支出绩效目标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度计划在继续实施好正在实施的9个横向项目的同时新增与企业合作承担3个横向项目，取得适当课题服务经费，利用自生科研技术优势，帮助企业解决技术难题，通过食用菌产业深度参农村扶贫和乡村振兴战略，以获得菇农菌企广泛欢迎认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（二）2020年度整体支出绩效目标完成情况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1、以党支部标准化建设为指导，进一步推进党建工作协调发展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年召开党员大会4次、领导干部讲党课5次、开展党员集体学习15次、对支部书记开展双述双评1次，召开民主生活会2次，对全体党员谈心谈话2次；并多次组织党员干部去红色教育基地开展主题教育，加强时治学习。党风廉政建设一直是我所工作的重点。党总支一直将党风廉政建设贯穿于日常管理工作始终。一是坚持反腐倡廉常抓不懈，防微杜渐，使廉政建设深入人心。先后组织学习了《中国共产党党内监督条例》和《中</w:t>
      </w:r>
      <w:bookmarkStart w:id="2" w:name="_GoBack"/>
      <w:bookmarkEnd w:id="2"/>
      <w:r>
        <w:rPr>
          <w:rFonts w:hint="eastAsia" w:ascii="仿宋" w:hAnsi="仿宋" w:eastAsia="仿宋" w:cs="仿宋"/>
          <w:sz w:val="32"/>
          <w:szCs w:val="32"/>
        </w:rPr>
        <w:t>国共产党纪律处分条例》。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2、以绩效考核为抓手，强化内部控制管理，提升管理效益。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织单位相关科室对内部制度进行了重新梳理和完善，以绩效考核为引擎，进一步规范内部管理，提升管理效益。强化预决算管理，加强资产管理，确保国有资产安全完整。坚持“公平、公正、公开”原则，重大问题集体研究，同时接受党内外监督；二是切实做好监察工作。按照上级党委工作要求，切实执行“三重一大”规定，特别是“四资一项目”的监察，积极关心，妥善解决好职工反映强烈难点、热点问题，逢年过节安排资金慰问困难党员和职工，提升职工满意度和幸福感。获得2020年度综合治理优秀单位称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3、潜力科技攻关，财政科研课题绩效目标全部完成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度在高质量实施在研课题基础上新增承担6个财政资金专项，主要包括：南荻基质栽培食用菌应用技术规程、大球盖菇栽培技术规程、高温胁迫灰树花不同胞外酶活性原生质体再生活力的影响、农业秸秆资源食用菌基料化高效循环利用关键技术研究与示范、科技进步奖（灰树花优质高效栽培关键技术创新与应用）、菌种常规保藏技术规程，发表相关论文10篇，其中SCI6篇，申报专利2个，发布地方标准3个，出版专著1本，新增收集菌种种质资源50多份，并对20个种质进行了DNA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同时，利用自身科研技术优势，与企业合作承担横向项目3个，取得经费15万元，为企业解决了技术上的实际困难，产业扶贫500多人次，对口贫困县11个，派出三区人才、科技特派员50多人次，赢得了广大菇农菌企的一致好评。</w:t>
      </w:r>
    </w:p>
    <w:p>
      <w:pPr>
        <w:ind w:firstLine="640" w:firstLineChars="200"/>
        <w:rPr>
          <w:rFonts w:hint="eastAsia" w:ascii="黑体" w:hAnsi="黑体" w:eastAsia="黑体" w:cs="黑体"/>
          <w:b/>
          <w:bCs/>
          <w:sz w:val="32"/>
          <w:szCs w:val="32"/>
        </w:rPr>
      </w:pPr>
    </w:p>
    <w:p>
      <w:pPr>
        <w:ind w:firstLine="640" w:firstLineChars="200"/>
        <w:rPr>
          <w:rFonts w:hint="eastAsia" w:ascii="黑体" w:hAnsi="黑体" w:eastAsia="黑体" w:cs="黑体"/>
          <w:b/>
          <w:bCs/>
          <w:sz w:val="32"/>
          <w:szCs w:val="32"/>
        </w:rPr>
      </w:pPr>
      <w:r>
        <w:rPr>
          <w:rFonts w:hint="eastAsia" w:ascii="黑体" w:hAnsi="黑体" w:eastAsia="黑体" w:cs="黑体"/>
          <w:b/>
          <w:bCs/>
          <w:sz w:val="32"/>
          <w:szCs w:val="32"/>
        </w:rPr>
        <w:t>四、存在的问题及原因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年初绩效目表制定欠规范，绩效指标不够细化且暂未形成较为适应和固定的常态化指标体系，科研业务和管理业务均难以找到较为适应的能客观全面评价的数量指标体系，定性指标考核起来弹性大，这在一定程度上增加了绩效考核难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科研的成果转化创收能力不高，在跟企业提供技术支撑时，单位的创收能力有待提升。成果转化能力明显欠缺。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由于单位关联合作单位--春华生物公司的破产清算，导致部分设备设施暂时停用，影响固定资产使用率偏低。需通过加快春华生物公司的破产重组，重新启动破解这一局面。</w:t>
      </w:r>
    </w:p>
    <w:p>
      <w:pPr>
        <w:ind w:firstLine="640" w:firstLineChars="200"/>
        <w:rPr>
          <w:rFonts w:hint="eastAsia" w:ascii="黑体" w:hAnsi="黑体" w:eastAsia="黑体" w:cs="黑体"/>
          <w:b/>
          <w:bCs/>
          <w:sz w:val="32"/>
          <w:szCs w:val="32"/>
        </w:rPr>
      </w:pPr>
      <w:r>
        <w:rPr>
          <w:rFonts w:hint="eastAsia" w:ascii="黑体" w:hAnsi="黑体" w:eastAsia="黑体" w:cs="黑体"/>
          <w:b/>
          <w:bCs/>
          <w:sz w:val="32"/>
          <w:szCs w:val="32"/>
        </w:rPr>
        <w:t>五、下一步改进措施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提高认识，动员全体干部职工重视，树立全面绩效考核意识，单位需加大该项工作的领导和经费，加强相关人员培训和培养。在年度工作中提前部署，提前研究。希望绩效考核更加科学系统化，主管单位多组织绩效考核方面的培训，提高员工对绩效考核的认识，真正将绩效考核行之有效的运用到工作中去。</w:t>
      </w:r>
    </w:p>
    <w:p>
      <w:pPr>
        <w:ind w:firstLine="640" w:firstLineChars="200"/>
        <w:rPr>
          <w:rFonts w:hint="eastAsia" w:ascii="黑体" w:hAnsi="黑体" w:eastAsia="黑体" w:cs="仿宋"/>
          <w:sz w:val="32"/>
          <w:szCs w:val="32"/>
        </w:rPr>
      </w:pPr>
      <w:r>
        <w:rPr>
          <w:rFonts w:hint="eastAsia" w:ascii="黑体" w:hAnsi="黑体" w:eastAsia="黑体" w:cs="黑体"/>
          <w:b/>
          <w:bCs/>
          <w:sz w:val="32"/>
          <w:szCs w:val="32"/>
        </w:rPr>
        <w:t>六、绩效自评结果拟应用和公开情况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cs="黑体" w:asciiTheme="minorEastAsia" w:hAnsiTheme="minorEastAsia"/>
          <w:color w:val="000000"/>
          <w:kern w:val="0"/>
          <w:sz w:val="32"/>
          <w:szCs w:val="32"/>
        </w:rPr>
      </w:pPr>
      <w:r>
        <w:rPr>
          <w:rFonts w:hint="eastAsia" w:ascii="仿宋" w:hAnsi="仿宋" w:eastAsia="仿宋" w:cs="仿宋"/>
          <w:sz w:val="32"/>
          <w:szCs w:val="32"/>
        </w:rPr>
        <w:t>我所将按时公布全年预决算情况，此次考核后将高度重视绩效考核，及时将本次考核结果在单位内部进行公示，并将此评价作为明年工作对标和改进的主要参照。</w:t>
      </w:r>
    </w:p>
    <w:sectPr>
      <w:footerReference r:id="rId3"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E0D0A"/>
    <w:multiLevelType w:val="singleLevel"/>
    <w:tmpl w:val="940E0D0A"/>
    <w:lvl w:ilvl="0" w:tentative="0">
      <w:start w:val="8"/>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248270"/>
    <w:multiLevelType w:val="singleLevel"/>
    <w:tmpl w:val="5F248270"/>
    <w:lvl w:ilvl="0" w:tentative="0">
      <w:start w:val="2"/>
      <w:numFmt w:val="chineseCounting"/>
      <w:suff w:val="nothing"/>
      <w:lvlText w:val="（%1）"/>
      <w:lvlJc w:val="left"/>
      <w:rPr>
        <w:rFonts w:hint="eastAsia"/>
      </w:rPr>
    </w:lvl>
  </w:abstractNum>
  <w:abstractNum w:abstractNumId="3">
    <w:nsid w:val="7DD46CFE"/>
    <w:multiLevelType w:val="singleLevel"/>
    <w:tmpl w:val="7DD46CFE"/>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2FC9"/>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1367542"/>
    <w:rsid w:val="034A1C10"/>
    <w:rsid w:val="0B3E4D44"/>
    <w:rsid w:val="0BBD14B9"/>
    <w:rsid w:val="0BEB4D1D"/>
    <w:rsid w:val="0CEF6FD6"/>
    <w:rsid w:val="0CFE7D29"/>
    <w:rsid w:val="0D704059"/>
    <w:rsid w:val="104D42DB"/>
    <w:rsid w:val="1E6A59C9"/>
    <w:rsid w:val="21DB6EE2"/>
    <w:rsid w:val="25985AD9"/>
    <w:rsid w:val="281D70A9"/>
    <w:rsid w:val="2B430378"/>
    <w:rsid w:val="2F460B3D"/>
    <w:rsid w:val="2FED6A45"/>
    <w:rsid w:val="30AE7FAF"/>
    <w:rsid w:val="31405155"/>
    <w:rsid w:val="3484390E"/>
    <w:rsid w:val="34D85796"/>
    <w:rsid w:val="395D291A"/>
    <w:rsid w:val="3ABFDA3A"/>
    <w:rsid w:val="3ED841A9"/>
    <w:rsid w:val="426D0917"/>
    <w:rsid w:val="4359572E"/>
    <w:rsid w:val="45B63266"/>
    <w:rsid w:val="471A35C7"/>
    <w:rsid w:val="4A215634"/>
    <w:rsid w:val="4AF34CEA"/>
    <w:rsid w:val="4DF35A37"/>
    <w:rsid w:val="4EFD4EAE"/>
    <w:rsid w:val="55416014"/>
    <w:rsid w:val="569C2131"/>
    <w:rsid w:val="58401CEC"/>
    <w:rsid w:val="59FC286F"/>
    <w:rsid w:val="5A38175F"/>
    <w:rsid w:val="5A8175C0"/>
    <w:rsid w:val="5B985B3B"/>
    <w:rsid w:val="5C65323D"/>
    <w:rsid w:val="5D0465DA"/>
    <w:rsid w:val="621158DB"/>
    <w:rsid w:val="63135C44"/>
    <w:rsid w:val="670654CF"/>
    <w:rsid w:val="6845244C"/>
    <w:rsid w:val="69D26C3E"/>
    <w:rsid w:val="6A2E6315"/>
    <w:rsid w:val="6B6B5315"/>
    <w:rsid w:val="6D300AEF"/>
    <w:rsid w:val="6DB62B48"/>
    <w:rsid w:val="6FB451D8"/>
    <w:rsid w:val="710C5DF8"/>
    <w:rsid w:val="710F77FB"/>
    <w:rsid w:val="72915F6A"/>
    <w:rsid w:val="730612FD"/>
    <w:rsid w:val="751E412F"/>
    <w:rsid w:val="79843340"/>
    <w:rsid w:val="7D8408F4"/>
    <w:rsid w:val="7F8F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22"/>
    <w:rPr>
      <w:sz w:val="24"/>
      <w:szCs w:val="24"/>
    </w:rPr>
  </w:style>
  <w:style w:type="character" w:styleId="9">
    <w:name w:val="FollowedHyperlink"/>
    <w:basedOn w:val="7"/>
    <w:semiHidden/>
    <w:unhideWhenUsed/>
    <w:uiPriority w:val="99"/>
    <w:rPr>
      <w:color w:val="333333"/>
      <w:u w:val="none"/>
    </w:rPr>
  </w:style>
  <w:style w:type="character" w:styleId="10">
    <w:name w:val="Emphasis"/>
    <w:basedOn w:val="7"/>
    <w:qFormat/>
    <w:uiPriority w:val="20"/>
    <w:rPr>
      <w:sz w:val="24"/>
      <w:szCs w:val="24"/>
    </w:rPr>
  </w:style>
  <w:style w:type="character" w:styleId="11">
    <w:name w:val="Hyperlink"/>
    <w:basedOn w:val="7"/>
    <w:semiHidden/>
    <w:unhideWhenUsed/>
    <w:uiPriority w:val="99"/>
    <w:rPr>
      <w:color w:val="333333"/>
      <w:u w:val="none"/>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7"/>
    <w:link w:val="2"/>
    <w:semiHidden/>
    <w:qFormat/>
    <w:uiPriority w:val="99"/>
    <w:rPr>
      <w:sz w:val="18"/>
      <w:szCs w:val="18"/>
    </w:rPr>
  </w:style>
  <w:style w:type="character" w:customStyle="1" w:styleId="17">
    <w:name w:val="before1"/>
    <w:basedOn w:val="7"/>
    <w:qFormat/>
    <w:uiPriority w:val="0"/>
    <w:rPr>
      <w:bdr w:val="single" w:color="0466C7" w:sz="36" w:space="0"/>
    </w:rPr>
  </w:style>
  <w:style w:type="character" w:customStyle="1" w:styleId="18">
    <w:name w:val="wx-space"/>
    <w:basedOn w:val="7"/>
    <w:qFormat/>
    <w:uiPriority w:val="0"/>
  </w:style>
  <w:style w:type="character" w:customStyle="1" w:styleId="19">
    <w:name w:val="wx-space1"/>
    <w:basedOn w:val="7"/>
    <w:qFormat/>
    <w:uiPriority w:val="0"/>
  </w:style>
  <w:style w:type="character" w:customStyle="1" w:styleId="20">
    <w:name w:val="hover16"/>
    <w:basedOn w:val="7"/>
    <w:qFormat/>
    <w:uiPriority w:val="0"/>
    <w:rPr>
      <w:color w:val="000000"/>
      <w:shd w:val="clear" w:fill="FFFFFF"/>
    </w:rPr>
  </w:style>
  <w:style w:type="character" w:customStyle="1" w:styleId="21">
    <w:name w:val="bsharetex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1300</Words>
  <Characters>7415</Characters>
  <Lines>61</Lines>
  <Paragraphs>17</Paragraphs>
  <TotalTime>23</TotalTime>
  <ScaleCrop>false</ScaleCrop>
  <LinksUpToDate>false</LinksUpToDate>
  <CharactersWithSpaces>8698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greatwall</cp:lastModifiedBy>
  <cp:lastPrinted>2021-08-05T16:54:00Z</cp:lastPrinted>
  <dcterms:modified xsi:type="dcterms:W3CDTF">2023-11-08T17:21:47Z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92A054ACDF7A4660AEC55D257F939FB5</vt:lpwstr>
  </property>
</Properties>
</file>